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308043</w:t>
      </w:r>
      <w:bookmarkStart w:id="1" w:name="_GoBack"/>
      <w:bookmarkEnd w:id="1"/>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Incheon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ROK,</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22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overflowPunct w:val="0"/>
        <w:autoSpaceDE w:val="0"/>
        <w:autoSpaceDN w:val="0"/>
        <w:adjustRightInd w:val="0"/>
        <w:spacing w:after="0" w:line="240" w:lineRule="auto"/>
        <w:textAlignment w:val="baseline"/>
        <w:rPr>
          <w:rFonts w:ascii="Arial" w:hAnsi="Arial" w:eastAsia="宋体" w:cs="Times New Roman"/>
          <w:b/>
          <w:bCs/>
          <w:sz w:val="24"/>
          <w:szCs w:val="20"/>
          <w:lang w:eastAsia="ja-JP"/>
        </w:rPr>
      </w:pPr>
    </w:p>
    <w:p>
      <w:pPr>
        <w:tabs>
          <w:tab w:val="left" w:pos="1985"/>
        </w:tabs>
        <w:ind w:left="1985" w:hanging="1985"/>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impacts on PRS/SRS bandwidth aggregation</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8.23.3.5</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4"/>
        <w:rPr>
          <w:lang w:val="en-US"/>
        </w:rPr>
      </w:pPr>
      <w:r>
        <w:rPr>
          <w:lang w:val="en-US"/>
        </w:rPr>
        <w:t>Intro</w:t>
      </w:r>
      <w:r>
        <w:rPr>
          <w:rStyle w:val="75"/>
          <w:lang w:val="en-US"/>
        </w:rPr>
        <w:t>ductio</w:t>
      </w:r>
      <w:r>
        <w:rPr>
          <w:lang w:val="en-US"/>
        </w:rPr>
        <w:t>n</w:t>
      </w:r>
    </w:p>
    <w:p>
      <w:pPr>
        <w:keepNext w:val="0"/>
        <w:keepLines w:val="0"/>
        <w:pageBreakBefore w:val="0"/>
        <w:widowControl/>
        <w:kinsoku/>
        <w:wordWrap/>
        <w:overflowPunct/>
        <w:topLinePunct w:val="0"/>
        <w:autoSpaceDE/>
        <w:autoSpaceDN/>
        <w:bidi w:val="0"/>
        <w:adjustRightInd/>
        <w:snapToGrid/>
        <w:spacing w:line="360" w:lineRule="auto"/>
        <w:jc w:val="both"/>
        <w:textAlignment w:val="auto"/>
      </w:pPr>
      <w:r>
        <w:t xml:space="preserve">The Rel-18 </w:t>
      </w:r>
      <w:r>
        <w:rPr>
          <w:rFonts w:hint="eastAsia" w:eastAsia="宋体"/>
          <w:lang w:val="en-US" w:eastAsia="zh-CN"/>
        </w:rPr>
        <w:t>WID</w:t>
      </w:r>
      <w:r>
        <w:t xml:space="preserve"> [1] investigates positioning accuracy enhancement with advanced techniques of </w:t>
      </w:r>
      <w:r>
        <w:rPr>
          <w:highlight w:val="none"/>
        </w:rPr>
        <w:t>bandwidth aggregation</w:t>
      </w:r>
      <w:r>
        <w:rPr>
          <w:rFonts w:hint="eastAsia" w:eastAsia="宋体"/>
          <w:highlight w:val="none"/>
          <w:lang w:val="en-US" w:eastAsia="zh-CN"/>
        </w:rPr>
        <w:t xml:space="preserve"> . </w:t>
      </w:r>
      <w:r>
        <w:t>RAN4 has been assigned the</w:t>
      </w:r>
      <w:r>
        <w:rPr>
          <w:rFonts w:hint="eastAsia" w:eastAsia="宋体"/>
          <w:lang w:val="en-US" w:eastAsia="zh-CN"/>
        </w:rPr>
        <w:t xml:space="preserve"> </w:t>
      </w:r>
      <w:r>
        <w:t>following objective</w:t>
      </w:r>
      <w:r>
        <w:rPr>
          <w:rFonts w:hint="eastAsia" w:eastAsia="宋体"/>
          <w:lang w:val="en-US" w:eastAsia="zh-CN"/>
        </w:rPr>
        <w:t>s</w:t>
      </w:r>
      <w: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numPr>
                <w:ilvl w:val="0"/>
                <w:numId w:val="3"/>
              </w:numPr>
              <w:overflowPunct/>
              <w:autoSpaceDE/>
              <w:autoSpaceDN/>
              <w:adjustRightInd/>
              <w:spacing w:after="0" w:line="276" w:lineRule="auto"/>
              <w:textAlignment w:val="auto"/>
              <w:rPr>
                <w:rFonts w:eastAsia="MS Mincho"/>
                <w:highlight w:val="yellow"/>
                <w:lang w:val="en-US" w:eastAsia="ko-KR"/>
              </w:rPr>
            </w:pPr>
            <w:r>
              <w:rPr>
                <w:rFonts w:eastAsia="MS Mincho"/>
                <w:highlight w:val="yellow"/>
                <w:lang w:val="en-US" w:eastAsia="ko-KR"/>
              </w:rPr>
              <w:t>Specify bandwidth aggregation for positioning measurements across up to</w:t>
            </w:r>
            <w:r>
              <w:rPr>
                <w:rFonts w:eastAsia="MS Mincho"/>
                <w:b/>
                <w:bCs/>
                <w:highlight w:val="yellow"/>
                <w:lang w:val="en-US" w:eastAsia="ko-KR"/>
              </w:rPr>
              <w:t xml:space="preserve"> three intra-band contiguous carriers</w:t>
            </w:r>
            <w:r>
              <w:rPr>
                <w:rFonts w:eastAsia="MS Mincho"/>
                <w:highlight w:val="yellow"/>
                <w:lang w:val="en-US" w:eastAsia="ko-KR"/>
              </w:rPr>
              <w:t xml:space="preserve"> [RAN1, RAN2, RAN4].</w:t>
            </w:r>
          </w:p>
          <w:p>
            <w:pPr>
              <w:numPr>
                <w:ilvl w:val="1"/>
                <w:numId w:val="3"/>
              </w:numPr>
              <w:overflowPunct/>
              <w:autoSpaceDE/>
              <w:autoSpaceDN/>
              <w:adjustRightInd/>
              <w:spacing w:after="0" w:line="276" w:lineRule="auto"/>
              <w:textAlignment w:val="auto"/>
              <w:rPr>
                <w:lang w:val="en-US" w:eastAsia="ko-KR"/>
              </w:rPr>
            </w:pPr>
            <w:r>
              <w:rPr>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pPr>
              <w:numPr>
                <w:ilvl w:val="2"/>
                <w:numId w:val="3"/>
              </w:numPr>
              <w:overflowPunct/>
              <w:autoSpaceDE/>
              <w:autoSpaceDN/>
              <w:adjustRightInd/>
              <w:spacing w:after="0" w:line="276" w:lineRule="auto"/>
              <w:textAlignment w:val="auto"/>
              <w:rPr>
                <w:lang w:val="en-US" w:eastAsia="ko-KR"/>
              </w:rPr>
            </w:pPr>
            <w:r>
              <w:rPr>
                <w:lang w:val="en-US" w:eastAsia="ko-KR"/>
              </w:rPr>
              <w:t>NOTE: The support of bandwidth aggregation for positioning measurements applies only to timing related measurements (e.g., RSTD, RTOA, and UE/gNB Rx-Tx time difference).</w:t>
            </w:r>
          </w:p>
          <w:p>
            <w:pPr>
              <w:pStyle w:val="70"/>
              <w:numPr>
                <w:ilvl w:val="1"/>
                <w:numId w:val="3"/>
              </w:numPr>
              <w:rPr>
                <w:b/>
                <w:bCs/>
              </w:rPr>
            </w:pPr>
            <w:r>
              <w:rPr>
                <w:highlight w:val="yellow"/>
                <w:lang w:val="en-US" w:eastAsia="ko-KR"/>
              </w:rPr>
              <w:t>Specify RRM requirements</w:t>
            </w:r>
            <w:r>
              <w:rPr>
                <w:b w:val="0"/>
                <w:bCs w:val="0"/>
                <w:highlight w:val="yellow"/>
                <w:lang w:val="en-US" w:eastAsia="ko-KR"/>
              </w:rPr>
              <w:t xml:space="preserve"> with measurement gaps</w:t>
            </w:r>
            <w:r>
              <w:rPr>
                <w:highlight w:val="yellow"/>
                <w:lang w:val="en-US" w:eastAsia="ko-KR"/>
              </w:rPr>
              <w:t xml:space="preserve"> in connected mode, and in inactive mode, including PRS measurement period/reporting [RAN4].</w:t>
            </w:r>
          </w:p>
        </w:tc>
      </w:tr>
    </w:tbl>
    <w:p>
      <w:pPr>
        <w:spacing w:after="0"/>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lang w:val="en-US"/>
        </w:rPr>
      </w:pPr>
      <w:r>
        <w:rPr>
          <w:rFonts w:hint="eastAsia" w:eastAsia="宋体"/>
          <w:lang w:val="en-US" w:eastAsia="zh-CN"/>
        </w:rPr>
        <w:t>At RAN4 #106bis-e, we mainly discussed the bandwidth aggregation for positioning measurements across up to three intra-band contiguous carriers, especially the RRM requirements with measurement gaps in connected mode, and in inactive mode, including PRS measurement period/reporting.</w:t>
      </w:r>
    </w:p>
    <w:p>
      <w:pPr>
        <w:pStyle w:val="74"/>
        <w:rPr>
          <w:lang w:val="en-US"/>
        </w:rPr>
      </w:pPr>
      <w:r>
        <w:rPr>
          <w:lang w:val="en-US"/>
        </w:rPr>
        <w:t>Discussion</w:t>
      </w:r>
    </w:p>
    <w:p>
      <w:pPr>
        <w:pStyle w:val="3"/>
        <w:bidi w:val="0"/>
        <w:rPr>
          <w:rFonts w:hint="default"/>
          <w:sz w:val="28"/>
          <w:szCs w:val="18"/>
          <w:lang w:val="en-US" w:eastAsia="zh-CN"/>
        </w:rPr>
      </w:pPr>
      <w:r>
        <w:rPr>
          <w:rFonts w:hint="eastAsia"/>
          <w:sz w:val="28"/>
          <w:szCs w:val="18"/>
          <w:lang w:val="en-US" w:eastAsia="zh-CN"/>
        </w:rPr>
        <w:t>2.1 Bandwidth aggregation for positioning measurements</w:t>
      </w:r>
    </w:p>
    <w:p>
      <w:pPr>
        <w:keepNext w:val="0"/>
        <w:keepLines w:val="0"/>
        <w:pageBreakBefore w:val="0"/>
        <w:widowControl/>
        <w:kinsoku/>
        <w:wordWrap/>
        <w:overflowPunct/>
        <w:topLinePunct w:val="0"/>
        <w:autoSpaceDE/>
        <w:autoSpaceDN/>
        <w:bidi w:val="0"/>
        <w:adjustRightInd/>
        <w:snapToGrid w:val="0"/>
        <w:spacing w:line="360" w:lineRule="auto"/>
        <w:textAlignment w:val="auto"/>
        <w:rPr>
          <w:rFonts w:hint="default" w:eastAsia="宋体"/>
          <w:lang w:val="en-US" w:eastAsia="zh-CN"/>
        </w:rPr>
      </w:pPr>
      <w:r>
        <w:rPr>
          <w:rFonts w:hint="eastAsia" w:eastAsia="宋体"/>
          <w:lang w:val="en-US" w:eastAsia="zh-CN"/>
        </w:rPr>
        <w:t>Firstly, we do the illustration on carrier aggregation (CA) as below:</w:t>
      </w:r>
    </w:p>
    <w:p>
      <w:pPr>
        <w:jc w:val="center"/>
        <w:rPr>
          <w:rFonts w:hint="default" w:eastAsia="宋体"/>
          <w:lang w:val="en-US" w:eastAsia="zh-CN"/>
        </w:rPr>
      </w:pPr>
      <w:r>
        <w:rPr>
          <w:rFonts w:hint="default" w:eastAsia="宋体"/>
          <w:lang w:val="en-US" w:eastAsia="zh-CN"/>
        </w:rPr>
        <w:drawing>
          <wp:inline distT="0" distB="0" distL="114300" distR="114300">
            <wp:extent cx="4147820" cy="1814830"/>
            <wp:effectExtent l="0" t="0" r="0" b="0"/>
            <wp:docPr id="3" name="图片 3" descr="C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A_3"/>
                    <pic:cNvPicPr>
                      <a:picLocks noChangeAspect="1"/>
                    </pic:cNvPicPr>
                  </pic:nvPicPr>
                  <pic:blipFill>
                    <a:blip r:embed="rId6"/>
                    <a:stretch>
                      <a:fillRect/>
                    </a:stretch>
                  </pic:blipFill>
                  <pic:spPr>
                    <a:xfrm>
                      <a:off x="0" y="0"/>
                      <a:ext cx="4147820" cy="1814830"/>
                    </a:xfrm>
                    <a:prstGeom prst="rect">
                      <a:avLst/>
                    </a:prstGeom>
                  </pic:spPr>
                </pic:pic>
              </a:graphicData>
            </a:graphic>
          </wp:inline>
        </w:drawing>
      </w:r>
    </w:p>
    <w:p>
      <w:pPr>
        <w:jc w:val="center"/>
        <w:rPr>
          <w:rFonts w:hint="eastAsia" w:eastAsia="宋体"/>
          <w:lang w:val="en-US" w:eastAsia="zh-CN"/>
        </w:rPr>
      </w:pPr>
      <w:r>
        <w:rPr>
          <w:rFonts w:hint="eastAsia" w:eastAsia="宋体"/>
          <w:lang w:val="en-US" w:eastAsia="zh-CN"/>
        </w:rPr>
        <w:t>Figure 1  PRS bandwidth aggregation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lang w:val="en-US" w:eastAsia="zh-CN"/>
        </w:rPr>
      </w:pPr>
      <w:r>
        <w:rPr>
          <w:rFonts w:hint="eastAsia" w:eastAsia="宋体"/>
          <w:lang w:val="en-US" w:eastAsia="zh-CN"/>
        </w:rPr>
        <w:t xml:space="preserve">As shown in figure1, i.e. we have three component carriers (CCs), the CC1 is 5M and the rest of CCs are 10M. For multi-carrier positioning measurement, we aggregate three CCs into </w:t>
      </w:r>
      <w:r>
        <w:rPr>
          <w:rFonts w:hint="default" w:eastAsia="宋体"/>
          <w:lang w:val="en-US" w:eastAsia="zh-CN"/>
        </w:rPr>
        <w:t>“</w:t>
      </w:r>
      <w:r>
        <w:rPr>
          <w:rFonts w:hint="eastAsia" w:eastAsia="宋体"/>
          <w:lang w:val="en-US" w:eastAsia="zh-CN"/>
        </w:rPr>
        <w:t>one</w:t>
      </w:r>
      <w:r>
        <w:rPr>
          <w:rFonts w:hint="default" w:eastAsia="宋体"/>
          <w:lang w:val="en-US" w:eastAsia="zh-CN"/>
        </w:rPr>
        <w:t>”</w:t>
      </w:r>
      <w:r>
        <w:rPr>
          <w:rFonts w:hint="eastAsia" w:eastAsia="宋体"/>
          <w:lang w:val="en-US" w:eastAsia="zh-CN"/>
        </w:rPr>
        <w:t xml:space="preserve"> carrier, it equals the transmitted channel is 25M. And then we have the wider transmitted channel to transmit the signals simultaneously. And we also do the illustration on the DL positioning procedure as below:</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lang w:val="en-US" w:eastAsia="zh-CN"/>
        </w:rPr>
      </w:pPr>
      <w:r>
        <w:rPr>
          <w:rFonts w:hint="default" w:eastAsia="宋体"/>
          <w:lang w:val="en-US" w:eastAsia="zh-CN"/>
        </w:rPr>
        <w:drawing>
          <wp:inline distT="0" distB="0" distL="114300" distR="114300">
            <wp:extent cx="4663440" cy="2953385"/>
            <wp:effectExtent l="0" t="0" r="0" b="3175"/>
            <wp:docPr id="1" name="图片 1" descr="绘图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绘图3"/>
                    <pic:cNvPicPr>
                      <a:picLocks noChangeAspect="1"/>
                    </pic:cNvPicPr>
                  </pic:nvPicPr>
                  <pic:blipFill>
                    <a:blip r:embed="rId7"/>
                    <a:stretch>
                      <a:fillRect/>
                    </a:stretch>
                  </pic:blipFill>
                  <pic:spPr>
                    <a:xfrm>
                      <a:off x="0" y="0"/>
                      <a:ext cx="4663440" cy="2953385"/>
                    </a:xfrm>
                    <a:prstGeom prst="rect">
                      <a:avLst/>
                    </a:prstGeom>
                  </pic:spPr>
                </pic:pic>
              </a:graphicData>
            </a:graphic>
          </wp:inline>
        </w:drawing>
      </w:r>
    </w:p>
    <w:p>
      <w:pPr>
        <w:jc w:val="center"/>
        <w:rPr>
          <w:rFonts w:hint="default" w:eastAsia="宋体"/>
          <w:lang w:val="en-US" w:eastAsia="zh-CN"/>
        </w:rPr>
      </w:pPr>
      <w:r>
        <w:rPr>
          <w:rFonts w:hint="eastAsia" w:eastAsia="宋体"/>
          <w:lang w:val="en-US" w:eastAsia="zh-CN"/>
        </w:rPr>
        <w:t>Figure 2  DL positioning procedure</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eastAsia="宋体"/>
          <w:lang w:val="en-US" w:eastAsia="zh-CN"/>
        </w:rPr>
      </w:pPr>
      <w:r>
        <w:rPr>
          <w:rFonts w:hint="eastAsia" w:eastAsia="宋体"/>
          <w:lang w:val="en-US" w:eastAsia="zh-CN"/>
        </w:rPr>
        <w:t>What we want to express is that UE measures DL-PRS with different methods, such as RSRP, RSTD or other values in step 3. The UE will receive the assistance data and start the measurement, i.g. RSTD measurement, the measurement period shall be considered and obviously we will provide our suggestions for this point.</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eastAsia="宋体"/>
          <w:lang w:val="en-US" w:eastAsia="zh-CN"/>
        </w:rPr>
      </w:pPr>
      <w:r>
        <w:rPr>
          <w:rFonts w:hint="eastAsia" w:eastAsia="宋体"/>
          <w:lang w:val="en-US" w:eastAsia="zh-CN"/>
        </w:rPr>
        <w:t>In the last meeting, we have reached several agreements as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9857" w:type="dxa"/>
          </w:tcPr>
          <w:p>
            <w:pPr>
              <w:spacing w:before="120" w:after="0"/>
              <w:rPr>
                <w:b/>
                <w:bCs/>
                <w:sz w:val="22"/>
                <w:szCs w:val="22"/>
                <w:u w:val="single"/>
              </w:rPr>
            </w:pPr>
            <w:r>
              <w:rPr>
                <w:b/>
                <w:bCs/>
                <w:sz w:val="22"/>
                <w:szCs w:val="22"/>
                <w:u w:val="single"/>
              </w:rPr>
              <w:t>Issue 3-1-1: Applicable RRC states:</w:t>
            </w:r>
          </w:p>
          <w:p>
            <w:pPr>
              <w:spacing w:before="120"/>
              <w:rPr>
                <w:rFonts w:eastAsiaTheme="minorEastAsia"/>
                <w:b/>
                <w:bCs/>
                <w:iCs/>
                <w:sz w:val="22"/>
                <w:szCs w:val="22"/>
                <w:u w:val="single"/>
                <w:lang w:val="en-US" w:eastAsia="zh-CN"/>
              </w:rPr>
            </w:pPr>
            <w:r>
              <w:rPr>
                <w:rFonts w:eastAsiaTheme="minorEastAsia"/>
                <w:b/>
                <w:bCs/>
                <w:iCs/>
                <w:sz w:val="22"/>
                <w:szCs w:val="22"/>
                <w:highlight w:val="green"/>
                <w:u w:val="single"/>
                <w:lang w:val="en-US" w:eastAsia="zh-CN"/>
              </w:rPr>
              <w:t>A</w:t>
            </w:r>
            <w:r>
              <w:rPr>
                <w:rFonts w:hint="eastAsia" w:eastAsiaTheme="minorEastAsia"/>
                <w:b/>
                <w:bCs/>
                <w:iCs/>
                <w:sz w:val="22"/>
                <w:szCs w:val="22"/>
                <w:highlight w:val="green"/>
                <w:u w:val="single"/>
                <w:lang w:val="en-US" w:eastAsia="zh-CN"/>
              </w:rPr>
              <w:t>greements</w:t>
            </w:r>
            <w:r>
              <w:rPr>
                <w:rFonts w:hint="eastAsia" w:eastAsiaTheme="minorEastAsia"/>
                <w:i/>
                <w:sz w:val="22"/>
                <w:szCs w:val="22"/>
                <w:highlight w:val="green"/>
                <w:lang w:val="en-US" w:eastAsia="zh-CN"/>
              </w:rPr>
              <w:t>:</w:t>
            </w:r>
          </w:p>
          <w:p>
            <w:pPr>
              <w:numPr>
                <w:ilvl w:val="0"/>
                <w:numId w:val="4"/>
              </w:numPr>
              <w:spacing w:after="0" w:line="252" w:lineRule="auto"/>
              <w:ind w:left="357" w:hanging="357"/>
              <w:rPr>
                <w:szCs w:val="24"/>
                <w:lang w:val="en-US" w:eastAsia="ja-JP"/>
              </w:rPr>
            </w:pPr>
            <w:r>
              <w:rPr>
                <w:szCs w:val="24"/>
                <w:lang w:val="en-US" w:eastAsia="zh-CN"/>
              </w:rPr>
              <w:t>Define the core requirements for PRS BW aggregation in both RRC_INACTIVE and RRC_CONNECTED states.</w:t>
            </w:r>
          </w:p>
          <w:p>
            <w:pPr>
              <w:numPr>
                <w:ilvl w:val="0"/>
                <w:numId w:val="4"/>
              </w:numPr>
              <w:spacing w:after="120" w:line="252" w:lineRule="auto"/>
              <w:rPr>
                <w:szCs w:val="24"/>
                <w:lang w:val="en-US" w:eastAsia="ja-JP"/>
              </w:rPr>
            </w:pPr>
            <w:r>
              <w:rPr>
                <w:szCs w:val="24"/>
                <w:lang w:val="en-US" w:eastAsia="zh-CN"/>
              </w:rPr>
              <w:t>Do not define requirements for RRC_IDLE state.</w:t>
            </w:r>
          </w:p>
          <w:p>
            <w:pPr>
              <w:spacing w:before="120" w:after="0"/>
              <w:rPr>
                <w:b/>
                <w:bCs/>
                <w:sz w:val="22"/>
                <w:szCs w:val="22"/>
                <w:highlight w:val="none"/>
                <w:u w:val="single"/>
              </w:rPr>
            </w:pPr>
            <w:r>
              <w:rPr>
                <w:b/>
                <w:bCs/>
                <w:sz w:val="22"/>
                <w:szCs w:val="22"/>
                <w:highlight w:val="none"/>
                <w:u w:val="single"/>
              </w:rPr>
              <w:t>Issue 3-1-2: Applicable number of PFLs:</w:t>
            </w:r>
          </w:p>
          <w:p>
            <w:pPr>
              <w:spacing w:before="120"/>
              <w:rPr>
                <w:rFonts w:eastAsiaTheme="minorEastAsia"/>
                <w:b/>
                <w:bCs/>
                <w:iCs/>
                <w:sz w:val="22"/>
                <w:szCs w:val="22"/>
                <w:u w:val="single"/>
                <w:lang w:val="en-US" w:eastAsia="zh-CN"/>
              </w:rPr>
            </w:pPr>
            <w:r>
              <w:rPr>
                <w:rFonts w:eastAsiaTheme="minorEastAsia"/>
                <w:b/>
                <w:bCs/>
                <w:iCs/>
                <w:sz w:val="22"/>
                <w:szCs w:val="22"/>
                <w:highlight w:val="green"/>
                <w:u w:val="single"/>
                <w:lang w:val="en-US" w:eastAsia="zh-CN"/>
              </w:rPr>
              <w:t>A</w:t>
            </w:r>
            <w:r>
              <w:rPr>
                <w:rFonts w:hint="eastAsia" w:eastAsiaTheme="minorEastAsia"/>
                <w:b/>
                <w:bCs/>
                <w:iCs/>
                <w:sz w:val="22"/>
                <w:szCs w:val="22"/>
                <w:highlight w:val="green"/>
                <w:u w:val="single"/>
                <w:lang w:val="en-US" w:eastAsia="zh-CN"/>
              </w:rPr>
              <w:t>greements</w:t>
            </w:r>
            <w:r>
              <w:rPr>
                <w:rFonts w:hint="eastAsia" w:eastAsiaTheme="minorEastAsia"/>
                <w:i/>
                <w:sz w:val="22"/>
                <w:szCs w:val="22"/>
                <w:highlight w:val="green"/>
                <w:lang w:val="en-US" w:eastAsia="zh-CN"/>
              </w:rPr>
              <w:t>:</w:t>
            </w:r>
          </w:p>
          <w:p>
            <w:pPr>
              <w:pStyle w:val="70"/>
              <w:numPr>
                <w:ilvl w:val="0"/>
                <w:numId w:val="4"/>
              </w:numPr>
              <w:rPr>
                <w:rFonts w:ascii="Times New Roman" w:hAnsi="Times New Roman"/>
                <w:sz w:val="20"/>
                <w:szCs w:val="24"/>
                <w:lang w:eastAsia="ja-JP"/>
              </w:rPr>
            </w:pPr>
            <w:r>
              <w:rPr>
                <w:rFonts w:ascii="Times New Roman" w:hAnsi="Times New Roman"/>
                <w:sz w:val="20"/>
                <w:szCs w:val="24"/>
                <w:lang w:eastAsia="ja-JP"/>
              </w:rPr>
              <w:t xml:space="preserve">PRS </w:t>
            </w:r>
            <w:r>
              <w:rPr>
                <w:rFonts w:ascii="Times New Roman" w:hAnsi="Times New Roman"/>
                <w:sz w:val="20"/>
                <w:szCs w:val="24"/>
                <w:u w:val="single"/>
                <w:lang w:eastAsia="ja-JP"/>
              </w:rPr>
              <w:t>core</w:t>
            </w:r>
            <w:r>
              <w:rPr>
                <w:rFonts w:ascii="Times New Roman" w:hAnsi="Times New Roman"/>
                <w:sz w:val="20"/>
                <w:szCs w:val="24"/>
                <w:lang w:eastAsia="ja-JP"/>
              </w:rPr>
              <w:t xml:space="preserve"> requirements for PRS/SRS bandwidth aggregation are prioritized for up to ‘N</w:t>
            </w:r>
            <w:r>
              <w:rPr>
                <w:rFonts w:ascii="Times New Roman" w:hAnsi="Times New Roman"/>
                <w:sz w:val="20"/>
                <w:szCs w:val="24"/>
                <w:vertAlign w:val="subscript"/>
                <w:lang w:eastAsia="ja-JP"/>
              </w:rPr>
              <w:t>DL</w:t>
            </w:r>
            <w:r>
              <w:rPr>
                <w:rFonts w:ascii="Times New Roman" w:hAnsi="Times New Roman"/>
                <w:sz w:val="20"/>
                <w:szCs w:val="24"/>
                <w:lang w:eastAsia="ja-JP"/>
              </w:rPr>
              <w:t>’ number of DL and ‘N</w:t>
            </w:r>
            <w:r>
              <w:rPr>
                <w:rFonts w:ascii="Times New Roman" w:hAnsi="Times New Roman"/>
                <w:sz w:val="20"/>
                <w:szCs w:val="24"/>
                <w:vertAlign w:val="subscript"/>
                <w:lang w:eastAsia="ja-JP"/>
              </w:rPr>
              <w:t>UL</w:t>
            </w:r>
            <w:r>
              <w:rPr>
                <w:rFonts w:ascii="Times New Roman" w:hAnsi="Times New Roman"/>
                <w:sz w:val="20"/>
                <w:szCs w:val="24"/>
                <w:lang w:eastAsia="ja-JP"/>
              </w:rPr>
              <w:t>’ number of UL intra-band contiguous PFLs, where:</w:t>
            </w:r>
          </w:p>
          <w:p>
            <w:pPr>
              <w:numPr>
                <w:ilvl w:val="1"/>
                <w:numId w:val="4"/>
              </w:numPr>
              <w:spacing w:before="60" w:after="0"/>
              <w:ind w:left="1077" w:hanging="357"/>
              <w:rPr>
                <w:szCs w:val="24"/>
                <w:lang w:val="en-US" w:eastAsia="ja-JP"/>
              </w:rPr>
            </w:pPr>
            <w:r>
              <w:rPr>
                <w:szCs w:val="24"/>
                <w:lang w:val="en-US" w:eastAsia="ja-JP"/>
              </w:rPr>
              <w:t>N</w:t>
            </w:r>
            <w:r>
              <w:rPr>
                <w:szCs w:val="24"/>
                <w:vertAlign w:val="subscript"/>
                <w:lang w:val="en-US" w:eastAsia="ja-JP"/>
              </w:rPr>
              <w:t>DL</w:t>
            </w:r>
            <w:r>
              <w:rPr>
                <w:szCs w:val="24"/>
                <w:lang w:val="en-US" w:eastAsia="ja-JP"/>
              </w:rPr>
              <w:t xml:space="preserve"> = 3 PFLs in DL and </w:t>
            </w:r>
          </w:p>
          <w:p>
            <w:pPr>
              <w:numPr>
                <w:ilvl w:val="1"/>
                <w:numId w:val="4"/>
              </w:numPr>
              <w:spacing w:before="60" w:after="0"/>
              <w:ind w:left="1077" w:hanging="357"/>
              <w:rPr>
                <w:szCs w:val="24"/>
                <w:lang w:val="en-US" w:eastAsia="ja-JP"/>
              </w:rPr>
            </w:pPr>
            <w:r>
              <w:rPr>
                <w:szCs w:val="24"/>
                <w:lang w:val="en-US" w:eastAsia="ja-JP"/>
              </w:rPr>
              <w:t>N</w:t>
            </w:r>
            <w:r>
              <w:rPr>
                <w:szCs w:val="24"/>
                <w:vertAlign w:val="subscript"/>
                <w:lang w:val="en-US" w:eastAsia="ja-JP"/>
              </w:rPr>
              <w:t>UL</w:t>
            </w:r>
            <w:r>
              <w:rPr>
                <w:szCs w:val="24"/>
                <w:lang w:val="en-US" w:eastAsia="ja-JP"/>
              </w:rPr>
              <w:t xml:space="preserve"> = 3 PFLs in UL</w:t>
            </w:r>
          </w:p>
          <w:p>
            <w:pPr>
              <w:numPr>
                <w:ilvl w:val="0"/>
                <w:numId w:val="4"/>
              </w:numPr>
              <w:spacing w:before="120" w:after="120" w:line="252" w:lineRule="auto"/>
              <w:ind w:left="357" w:hanging="357"/>
              <w:rPr>
                <w:szCs w:val="24"/>
                <w:lang w:val="en-US" w:eastAsia="ja-JP"/>
              </w:rPr>
            </w:pPr>
            <w:r>
              <w:rPr>
                <w:szCs w:val="24"/>
                <w:lang w:eastAsia="ja-JP"/>
              </w:rPr>
              <w:t xml:space="preserve">The number of PFLs for which PRS </w:t>
            </w:r>
            <w:r>
              <w:rPr>
                <w:szCs w:val="24"/>
                <w:u w:val="single"/>
                <w:lang w:eastAsia="ja-JP"/>
              </w:rPr>
              <w:t>accuracy</w:t>
            </w:r>
            <w:r>
              <w:rPr>
                <w:szCs w:val="24"/>
                <w:lang w:eastAsia="ja-JP"/>
              </w:rPr>
              <w:t xml:space="preserve"> requirements for PRS/SRS bandwidth aggregation shall be defined can be discussed during the performance part of the WI.</w:t>
            </w:r>
          </w:p>
          <w:p>
            <w:pPr>
              <w:spacing w:before="240" w:after="0"/>
              <w:rPr>
                <w:b/>
                <w:bCs/>
                <w:sz w:val="22"/>
                <w:szCs w:val="22"/>
                <w:u w:val="single"/>
              </w:rPr>
            </w:pPr>
            <w:r>
              <w:rPr>
                <w:b/>
                <w:bCs/>
                <w:sz w:val="22"/>
                <w:szCs w:val="22"/>
                <w:u w:val="single"/>
              </w:rPr>
              <w:t>Issue 3-1-3: Applicable aggregated PRS/SRS BW:</w:t>
            </w:r>
          </w:p>
          <w:p>
            <w:pPr>
              <w:spacing w:before="120"/>
              <w:rPr>
                <w:rFonts w:eastAsiaTheme="minorEastAsia"/>
                <w:b/>
                <w:bCs/>
                <w:iCs/>
                <w:sz w:val="22"/>
                <w:szCs w:val="22"/>
                <w:u w:val="single"/>
                <w:lang w:val="en-US" w:eastAsia="zh-CN"/>
              </w:rPr>
            </w:pPr>
            <w:r>
              <w:rPr>
                <w:rFonts w:eastAsiaTheme="minorEastAsia"/>
                <w:b/>
                <w:bCs/>
                <w:iCs/>
                <w:sz w:val="22"/>
                <w:szCs w:val="22"/>
                <w:highlight w:val="green"/>
                <w:u w:val="single"/>
                <w:lang w:val="en-US" w:eastAsia="zh-CN"/>
              </w:rPr>
              <w:t>A</w:t>
            </w:r>
            <w:r>
              <w:rPr>
                <w:rFonts w:hint="eastAsia" w:eastAsiaTheme="minorEastAsia"/>
                <w:b/>
                <w:bCs/>
                <w:iCs/>
                <w:sz w:val="22"/>
                <w:szCs w:val="22"/>
                <w:highlight w:val="green"/>
                <w:u w:val="single"/>
                <w:lang w:val="en-US" w:eastAsia="zh-CN"/>
              </w:rPr>
              <w:t>greements</w:t>
            </w:r>
            <w:r>
              <w:rPr>
                <w:rFonts w:hint="eastAsia" w:eastAsiaTheme="minorEastAsia"/>
                <w:i/>
                <w:sz w:val="22"/>
                <w:szCs w:val="22"/>
                <w:highlight w:val="green"/>
                <w:lang w:val="en-US" w:eastAsia="zh-CN"/>
              </w:rPr>
              <w:t>:</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ascii="Times New Roman" w:hAnsi="Times New Roman"/>
                <w:sz w:val="20"/>
                <w:szCs w:val="24"/>
                <w:lang w:val="en-US" w:eastAsia="zh-CN"/>
              </w:rPr>
            </w:pPr>
            <w:r>
              <w:rPr>
                <w:rFonts w:ascii="Times New Roman" w:hAnsi="Times New Roman"/>
                <w:sz w:val="20"/>
                <w:szCs w:val="24"/>
                <w:lang w:eastAsia="ja-JP"/>
              </w:rPr>
              <w:t>The impact (if any) of maximum targeted aggregated BW for PRS/SRS on PRS requirements is discussed after the RAN1 and RF session agreements on the maximum targeted aggregated BW for PRS/SRS</w:t>
            </w:r>
          </w:p>
        </w:tc>
      </w:tr>
    </w:tbl>
    <w:p>
      <w:pPr>
        <w:rPr>
          <w:rFonts w:hint="default"/>
          <w:sz w:val="22"/>
          <w:szCs w:val="22"/>
          <w:lang w:val="en-US" w:eastAsia="zh-CN"/>
        </w:rPr>
      </w:pPr>
      <w:r>
        <w:rPr>
          <w:rFonts w:hint="eastAsia"/>
          <w:sz w:val="22"/>
          <w:szCs w:val="22"/>
          <w:lang w:val="en-US" w:eastAsia="zh-CN"/>
        </w:rPr>
        <w:t>Several issues shall be discussed in the following tables: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spacing w:before="240" w:after="0"/>
              <w:rPr>
                <w:b/>
                <w:bCs/>
                <w:sz w:val="22"/>
                <w:szCs w:val="22"/>
                <w:highlight w:val="yellow"/>
                <w:u w:val="single"/>
              </w:rPr>
            </w:pPr>
            <w:r>
              <w:rPr>
                <w:b/>
                <w:bCs/>
                <w:sz w:val="22"/>
                <w:szCs w:val="22"/>
                <w:highlight w:val="yellow"/>
                <w:u w:val="single"/>
              </w:rPr>
              <w:t>Issue 3-2-2: Conditions for requirements for PRS/SRS bandwidth aggregation:</w:t>
            </w:r>
          </w:p>
          <w:p>
            <w:pPr>
              <w:spacing w:before="120"/>
              <w:rPr>
                <w:rFonts w:eastAsiaTheme="minorEastAsia"/>
                <w:b/>
                <w:bCs/>
                <w:iCs/>
                <w:sz w:val="22"/>
                <w:szCs w:val="22"/>
                <w:u w:val="single"/>
                <w:lang w:val="en-US" w:eastAsia="zh-CN"/>
              </w:rPr>
            </w:pPr>
            <w:r>
              <w:rPr>
                <w:rFonts w:eastAsiaTheme="minorEastAsia"/>
                <w:b/>
                <w:bCs/>
                <w:iCs/>
                <w:sz w:val="22"/>
                <w:szCs w:val="22"/>
                <w:highlight w:val="green"/>
                <w:u w:val="single"/>
                <w:lang w:val="en-US" w:eastAsia="zh-CN"/>
              </w:rPr>
              <w:t>A</w:t>
            </w:r>
            <w:r>
              <w:rPr>
                <w:rFonts w:hint="eastAsia" w:eastAsiaTheme="minorEastAsia"/>
                <w:b/>
                <w:bCs/>
                <w:iCs/>
                <w:sz w:val="22"/>
                <w:szCs w:val="22"/>
                <w:highlight w:val="green"/>
                <w:u w:val="single"/>
                <w:lang w:val="en-US" w:eastAsia="zh-CN"/>
              </w:rPr>
              <w:t>greements</w:t>
            </w:r>
            <w:r>
              <w:rPr>
                <w:rFonts w:hint="eastAsia" w:eastAsiaTheme="minorEastAsia"/>
                <w:i/>
                <w:sz w:val="22"/>
                <w:szCs w:val="22"/>
                <w:highlight w:val="green"/>
                <w:lang w:val="en-US" w:eastAsia="zh-CN"/>
              </w:rPr>
              <w:t>:</w:t>
            </w:r>
          </w:p>
          <w:p>
            <w:pPr>
              <w:numPr>
                <w:ilvl w:val="0"/>
                <w:numId w:val="4"/>
              </w:numPr>
              <w:spacing w:after="0" w:line="252" w:lineRule="auto"/>
              <w:ind w:left="357" w:hanging="357"/>
              <w:rPr>
                <w:sz w:val="22"/>
                <w:szCs w:val="22"/>
                <w:lang w:val="en-US" w:eastAsia="ja-JP"/>
              </w:rPr>
            </w:pPr>
            <w:r>
              <w:rPr>
                <w:sz w:val="22"/>
                <w:szCs w:val="22"/>
                <w:lang w:val="en-US" w:eastAsia="ja-JP"/>
              </w:rPr>
              <w:t>Wait for RAN1 progress on necessary conditions under which the PRS/SRS bandwidth aggregation applies before discussing RAN4 specific conditions.</w:t>
            </w:r>
          </w:p>
          <w:p>
            <w:pPr>
              <w:rPr>
                <w:rFonts w:hint="eastAsia"/>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For PRS/SRS bandwidth aggregation, one case that needs to be considered is the aggregation of PRS on different PFLs (two or three PFLs), so some conditions need to be considered at this time, e.g in RAN4 104bis-e meeting, we also had the agreements: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default"/>
                <w:lang w:val="en-US" w:eastAsia="zh-CN"/>
              </w:rPr>
            </w:pPr>
            <w:r>
              <w:rPr>
                <w:rFonts w:hint="eastAsia"/>
                <w:b/>
                <w:bCs/>
                <w:lang w:val="en-US" w:eastAsia="zh-CN"/>
              </w:rPr>
              <w:t>RAN4 104bis-e meeting</w:t>
            </w:r>
            <w:r>
              <w:rPr>
                <w:rFonts w:hint="eastAsia"/>
                <w:lang w:val="en-US" w:eastAsia="zh-CN"/>
              </w:rPr>
              <w:t>:</w:t>
            </w:r>
          </w:p>
          <w:p>
            <w:pPr>
              <w:rPr>
                <w:rFonts w:eastAsiaTheme="minorEastAsia"/>
                <w:b/>
                <w:bCs/>
                <w:iCs/>
                <w:sz w:val="22"/>
                <w:szCs w:val="22"/>
                <w:u w:val="single"/>
                <w:lang w:val="en-US" w:eastAsia="zh-CN"/>
              </w:rPr>
            </w:pPr>
            <w:r>
              <w:rPr>
                <w:rFonts w:eastAsiaTheme="minorEastAsia"/>
                <w:b/>
                <w:bCs/>
                <w:iCs/>
                <w:sz w:val="22"/>
                <w:szCs w:val="22"/>
                <w:highlight w:val="green"/>
                <w:u w:val="single"/>
                <w:lang w:val="en-US" w:eastAsia="zh-CN"/>
              </w:rPr>
              <w:t>A</w:t>
            </w:r>
            <w:r>
              <w:rPr>
                <w:rFonts w:hint="eastAsia" w:eastAsiaTheme="minorEastAsia"/>
                <w:b/>
                <w:bCs/>
                <w:iCs/>
                <w:sz w:val="22"/>
                <w:szCs w:val="22"/>
                <w:highlight w:val="green"/>
                <w:u w:val="single"/>
                <w:lang w:val="en-US" w:eastAsia="zh-CN"/>
              </w:rPr>
              <w:t>greements</w:t>
            </w:r>
            <w:r>
              <w:rPr>
                <w:rFonts w:hint="eastAsia" w:eastAsiaTheme="minorEastAsia"/>
                <w:i/>
                <w:sz w:val="22"/>
                <w:szCs w:val="22"/>
                <w:lang w:val="en-US" w:eastAsia="zh-CN"/>
              </w:rPr>
              <w:t>:</w:t>
            </w:r>
          </w:p>
          <w:p>
            <w:pPr>
              <w:pStyle w:val="70"/>
              <w:numPr>
                <w:ilvl w:val="0"/>
                <w:numId w:val="4"/>
              </w:numPr>
              <w:spacing w:after="180"/>
              <w:ind w:left="357" w:hanging="357"/>
              <w:contextualSpacing w:val="0"/>
              <w:rPr>
                <w:rFonts w:ascii="Times New Roman" w:hAnsi="Times New Roman"/>
                <w:bCs/>
                <w:sz w:val="20"/>
                <w:lang w:eastAsia="zh-CN"/>
              </w:rPr>
            </w:pPr>
            <w:r>
              <w:rPr>
                <w:rFonts w:ascii="Times New Roman" w:hAnsi="Times New Roman"/>
                <w:bCs/>
                <w:sz w:val="20"/>
                <w:lang w:eastAsia="zh-CN"/>
              </w:rPr>
              <w:t>For PRS bandwidth aggregation, a common numerology is required across all intra-band contiguous PFLs to be aggregated.</w:t>
            </w:r>
          </w:p>
          <w:p>
            <w:pPr>
              <w:rPr>
                <w:rFonts w:eastAsiaTheme="minorEastAsia"/>
                <w:b/>
                <w:bCs/>
                <w:iCs/>
                <w:sz w:val="22"/>
                <w:szCs w:val="22"/>
                <w:u w:val="single"/>
                <w:lang w:val="en-US" w:eastAsia="zh-CN"/>
              </w:rPr>
            </w:pPr>
            <w:r>
              <w:rPr>
                <w:rFonts w:eastAsiaTheme="minorEastAsia"/>
                <w:b/>
                <w:bCs/>
                <w:iCs/>
                <w:sz w:val="22"/>
                <w:szCs w:val="22"/>
                <w:highlight w:val="green"/>
                <w:u w:val="single"/>
                <w:lang w:val="en-US" w:eastAsia="zh-CN"/>
              </w:rPr>
              <w:t>A</w:t>
            </w:r>
            <w:r>
              <w:rPr>
                <w:rFonts w:hint="eastAsia" w:eastAsiaTheme="minorEastAsia"/>
                <w:b/>
                <w:bCs/>
                <w:iCs/>
                <w:sz w:val="22"/>
                <w:szCs w:val="22"/>
                <w:highlight w:val="green"/>
                <w:u w:val="single"/>
                <w:lang w:val="en-US" w:eastAsia="zh-CN"/>
              </w:rPr>
              <w:t>greements</w:t>
            </w:r>
            <w:r>
              <w:rPr>
                <w:rFonts w:hint="eastAsia" w:eastAsiaTheme="minorEastAsia"/>
                <w:i/>
                <w:sz w:val="22"/>
                <w:szCs w:val="22"/>
                <w:highlight w:val="green"/>
                <w:lang w:val="en-US" w:eastAsia="zh-CN"/>
              </w:rPr>
              <w:t>:</w:t>
            </w:r>
          </w:p>
          <w:p>
            <w:pPr>
              <w:pStyle w:val="70"/>
              <w:numPr>
                <w:ilvl w:val="0"/>
                <w:numId w:val="5"/>
              </w:numPr>
              <w:overflowPunct w:val="0"/>
              <w:autoSpaceDE w:val="0"/>
              <w:autoSpaceDN w:val="0"/>
              <w:adjustRightInd w:val="0"/>
              <w:spacing w:after="120"/>
              <w:ind w:left="363" w:hanging="357"/>
              <w:contextualSpacing w:val="0"/>
              <w:textAlignment w:val="baseline"/>
              <w:rPr>
                <w:rFonts w:ascii="Times New Roman" w:hAnsi="Times New Roman" w:eastAsiaTheme="minorEastAsia"/>
                <w:iCs/>
                <w:sz w:val="20"/>
                <w:lang w:eastAsia="zh-CN"/>
              </w:rPr>
            </w:pPr>
            <w:r>
              <w:rPr>
                <w:rFonts w:ascii="Times New Roman" w:hAnsi="Times New Roman" w:eastAsiaTheme="minorEastAsia"/>
                <w:iCs/>
                <w:sz w:val="20"/>
                <w:lang w:eastAsia="zh-CN"/>
              </w:rPr>
              <w:t>Number of intra-band contiguous PFLs for the aggregation of PRS or SRS is up to RF agreements.</w:t>
            </w:r>
          </w:p>
          <w:p>
            <w:pPr>
              <w:pStyle w:val="70"/>
              <w:numPr>
                <w:ilvl w:val="0"/>
                <w:numId w:val="5"/>
              </w:numPr>
              <w:overflowPunct w:val="0"/>
              <w:autoSpaceDE w:val="0"/>
              <w:autoSpaceDN w:val="0"/>
              <w:adjustRightInd w:val="0"/>
              <w:spacing w:after="120"/>
              <w:ind w:hanging="357"/>
              <w:contextualSpacing w:val="0"/>
              <w:textAlignment w:val="baseline"/>
              <w:rPr>
                <w:rFonts w:hint="eastAsia"/>
                <w:sz w:val="22"/>
                <w:szCs w:val="22"/>
                <w:vertAlign w:val="baseline"/>
                <w:lang w:val="en-US" w:eastAsia="zh-CN"/>
              </w:rPr>
            </w:pPr>
            <w:r>
              <w:rPr>
                <w:rFonts w:ascii="Times New Roman" w:hAnsi="Times New Roman" w:eastAsiaTheme="minorEastAsia"/>
                <w:iCs/>
                <w:sz w:val="20"/>
                <w:lang w:eastAsia="zh-CN"/>
              </w:rPr>
              <w:t>To study the RRM impact, the number of PFLs is the same as the number of PFLs agreed in RF session</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eastAsia"/>
          <w:sz w:val="22"/>
          <w:szCs w:val="22"/>
          <w:lang w:val="en-US" w:eastAsia="zh-CN"/>
        </w:rPr>
        <w:t xml:space="preserve">As mentioned in the above table, the final conclusion reached in the last meeting was to wait for some outcomes on RAN1 and conduct specific requirements analysis based on the progress of RAN1.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RAN1 had several agreements in the two latest meetings, more PRS transmission parameters were discussed (E.g. also propose the same number of PRS resource sets, the same number of PRS resources, the same gNB Tx TEG, the same UE Rx TEG, the same QCL type, the power consistency, and the same value of NR-DL-PRS-SFN0-Offset across the aggregated PFLs).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eastAsia"/>
          <w:b/>
          <w:bCs/>
          <w:sz w:val="22"/>
          <w:szCs w:val="22"/>
          <w:lang w:val="en-US" w:eastAsia="zh-CN"/>
        </w:rPr>
        <w:t>RAN1 112 and 112bis-e meeting agreements</w:t>
      </w:r>
      <w:r>
        <w:rPr>
          <w:rFonts w:hint="eastAsia"/>
          <w:sz w:val="22"/>
          <w:szCs w:val="22"/>
          <w:lang w:val="en-US" w:eastAsia="zh-CN"/>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default"/>
                <w:lang w:val="en-US" w:eastAsia="zh-CN"/>
              </w:rPr>
            </w:pPr>
            <w:r>
              <w:rPr>
                <w:rFonts w:hint="eastAsia"/>
                <w:b/>
                <w:bCs/>
                <w:lang w:val="en-US" w:eastAsia="zh-CN"/>
              </w:rPr>
              <w:t>112bis-e meeting</w:t>
            </w:r>
            <w:r>
              <w:rPr>
                <w:rFonts w:hint="eastAsia"/>
                <w:lang w:val="en-US" w:eastAsia="zh-CN"/>
              </w:rPr>
              <w:t>:</w:t>
            </w:r>
          </w:p>
          <w:p>
            <w:pPr>
              <w:rPr>
                <w:b/>
                <w:lang w:val="en-US"/>
              </w:rPr>
            </w:pPr>
            <w:r>
              <w:rPr>
                <w:b/>
                <w:highlight w:val="green"/>
                <w:lang w:val="en-US"/>
              </w:rPr>
              <w:t>Agreement</w:t>
            </w:r>
          </w:p>
          <w:p>
            <w:pPr>
              <w:snapToGrid w:val="0"/>
              <w:jc w:val="both"/>
              <w:rPr>
                <w:rFonts w:cs="Times"/>
                <w:b/>
                <w:bCs/>
                <w:szCs w:val="20"/>
                <w:u w:val="single"/>
              </w:rPr>
            </w:pPr>
            <w:r>
              <w:rPr>
                <w:rFonts w:cs="Times"/>
                <w:bCs/>
                <w:szCs w:val="20"/>
              </w:rPr>
              <w:t xml:space="preserve">For PRS bandwidth aggregation between PRS in two or three different PFLs, </w:t>
            </w:r>
            <w:r>
              <w:rPr>
                <w:rFonts w:cs="Times"/>
                <w:bCs/>
                <w:szCs w:val="20"/>
                <w:highlight w:val="yellow"/>
              </w:rPr>
              <w:t xml:space="preserve">decide whether </w:t>
            </w:r>
            <w:r>
              <w:rPr>
                <w:rFonts w:cs="Times"/>
                <w:highlight w:val="yellow"/>
              </w:rPr>
              <w:t>one or more</w:t>
            </w:r>
            <w:r>
              <w:rPr>
                <w:rFonts w:cs="Times"/>
              </w:rPr>
              <w:t xml:space="preserve"> of</w:t>
            </w:r>
            <w:r>
              <w:rPr>
                <w:rFonts w:cs="Times"/>
                <w:bCs/>
                <w:szCs w:val="20"/>
              </w:rPr>
              <w:t xml:space="preserve"> the following are needed for the aggregated PRS resources from a TRP in RAN1#113 meeting:</w:t>
            </w:r>
          </w:p>
          <w:p>
            <w:pPr>
              <w:numPr>
                <w:ilvl w:val="0"/>
                <w:numId w:val="6"/>
              </w:numPr>
              <w:snapToGrid w:val="0"/>
              <w:contextualSpacing/>
              <w:jc w:val="both"/>
              <w:rPr>
                <w:rFonts w:eastAsia="宋体" w:cs="Times"/>
                <w:szCs w:val="20"/>
              </w:rPr>
            </w:pPr>
            <w:r>
              <w:rPr>
                <w:rFonts w:cs="Times"/>
                <w:szCs w:val="20"/>
              </w:rPr>
              <w:t>The same antenna port from RAN1 perspective</w:t>
            </w:r>
          </w:p>
          <w:p>
            <w:pPr>
              <w:numPr>
                <w:ilvl w:val="1"/>
                <w:numId w:val="6"/>
              </w:numPr>
              <w:snapToGrid w:val="0"/>
              <w:contextualSpacing/>
              <w:jc w:val="both"/>
              <w:rPr>
                <w:rFonts w:eastAsia="宋体" w:cs="Times"/>
                <w:szCs w:val="20"/>
              </w:rPr>
            </w:pPr>
            <w:r>
              <w:rPr>
                <w:rFonts w:cs="Times"/>
                <w:szCs w:val="20"/>
              </w:rPr>
              <w:t>Note: this is to achieve phase continuity between PFLs</w:t>
            </w:r>
          </w:p>
          <w:p>
            <w:pPr>
              <w:numPr>
                <w:ilvl w:val="0"/>
                <w:numId w:val="6"/>
              </w:numPr>
              <w:snapToGrid w:val="0"/>
              <w:contextualSpacing/>
              <w:jc w:val="both"/>
              <w:rPr>
                <w:rFonts w:eastAsia="宋体" w:cs="Times"/>
                <w:szCs w:val="20"/>
              </w:rPr>
            </w:pPr>
            <w:r>
              <w:rPr>
                <w:rFonts w:cs="Times"/>
                <w:szCs w:val="20"/>
              </w:rPr>
              <w:t>The same periodicity and slot offset</w:t>
            </w:r>
          </w:p>
          <w:p>
            <w:pPr>
              <w:numPr>
                <w:ilvl w:val="0"/>
                <w:numId w:val="6"/>
              </w:numPr>
              <w:snapToGrid w:val="0"/>
              <w:contextualSpacing/>
              <w:jc w:val="both"/>
              <w:rPr>
                <w:rFonts w:eastAsia="宋体" w:cs="Times"/>
                <w:szCs w:val="20"/>
              </w:rPr>
            </w:pPr>
            <w:r>
              <w:rPr>
                <w:rFonts w:cs="Times"/>
                <w:szCs w:val="20"/>
              </w:rPr>
              <w:t>The same muting pattern</w:t>
            </w:r>
          </w:p>
          <w:p>
            <w:pPr>
              <w:numPr>
                <w:ilvl w:val="0"/>
                <w:numId w:val="6"/>
              </w:numPr>
              <w:snapToGrid w:val="0"/>
              <w:ind w:hanging="363"/>
              <w:contextualSpacing/>
              <w:jc w:val="both"/>
              <w:rPr>
                <w:rFonts w:eastAsia="宋体" w:cs="Times"/>
                <w:szCs w:val="20"/>
              </w:rPr>
            </w:pPr>
            <w:r>
              <w:rPr>
                <w:rFonts w:eastAsia="宋体" w:cs="Times"/>
                <w:szCs w:val="20"/>
              </w:rPr>
              <w:t xml:space="preserve">The same number of PRS resource sets and/or resources </w:t>
            </w:r>
            <w:r>
              <w:rPr>
                <w:rFonts w:eastAsia="宋体" w:cs="Times"/>
                <w:bCs/>
                <w:iCs/>
              </w:rPr>
              <w:t>per set</w:t>
            </w:r>
            <w:r>
              <w:rPr>
                <w:rFonts w:eastAsia="宋体" w:cs="Times"/>
                <w:szCs w:val="20"/>
              </w:rPr>
              <w:t xml:space="preserve"> for a TRP </w:t>
            </w:r>
          </w:p>
          <w:p>
            <w:pPr>
              <w:numPr>
                <w:ilvl w:val="0"/>
                <w:numId w:val="6"/>
              </w:numPr>
              <w:snapToGrid w:val="0"/>
              <w:ind w:hanging="363"/>
              <w:contextualSpacing/>
              <w:jc w:val="both"/>
              <w:rPr>
                <w:rFonts w:eastAsia="宋体" w:cs="Times"/>
                <w:szCs w:val="20"/>
              </w:rPr>
            </w:pPr>
            <w:r>
              <w:rPr>
                <w:rFonts w:eastAsia="宋体" w:cs="Times"/>
                <w:szCs w:val="20"/>
              </w:rPr>
              <w:t>The</w:t>
            </w:r>
            <w:r>
              <w:rPr>
                <w:rFonts w:cs="Times"/>
                <w:szCs w:val="20"/>
              </w:rPr>
              <w:t xml:space="preserve"> same </w:t>
            </w:r>
            <w:r>
              <w:rPr>
                <w:rFonts w:cs="Times"/>
                <w:i/>
                <w:szCs w:val="20"/>
              </w:rPr>
              <w:t>NR-DL-PRS-SFN0-Offset</w:t>
            </w:r>
            <w:r>
              <w:rPr>
                <w:rFonts w:cs="Times"/>
                <w:szCs w:val="20"/>
              </w:rPr>
              <w:t xml:space="preserve"> value</w:t>
            </w:r>
          </w:p>
          <w:p>
            <w:pPr>
              <w:numPr>
                <w:ilvl w:val="0"/>
                <w:numId w:val="6"/>
              </w:numPr>
              <w:snapToGrid w:val="0"/>
              <w:ind w:hanging="363"/>
              <w:contextualSpacing/>
              <w:jc w:val="both"/>
              <w:rPr>
                <w:rFonts w:eastAsia="宋体" w:cs="Times"/>
                <w:szCs w:val="20"/>
              </w:rPr>
            </w:pPr>
            <w:r>
              <w:rPr>
                <w:rFonts w:eastAsia="宋体" w:cs="Times"/>
                <w:szCs w:val="20"/>
              </w:rPr>
              <w:t xml:space="preserve">UE is expected to be configured with PRS resources that maintain a per-symbol uniformly spaced PRS pattern across aggregated bandwidths </w:t>
            </w:r>
          </w:p>
          <w:p>
            <w:pPr>
              <w:numPr>
                <w:ilvl w:val="1"/>
                <w:numId w:val="6"/>
              </w:numPr>
              <w:snapToGrid w:val="0"/>
              <w:ind w:left="1140" w:hanging="363"/>
              <w:contextualSpacing/>
              <w:jc w:val="both"/>
              <w:rPr>
                <w:rFonts w:eastAsia="宋体" w:cs="Times"/>
                <w:szCs w:val="20"/>
              </w:rPr>
            </w:pPr>
            <w:r>
              <w:rPr>
                <w:rFonts w:eastAsia="宋体" w:cs="Times"/>
                <w:szCs w:val="20"/>
              </w:rPr>
              <w:t>FFS: a per-symbol uniformly spaced PRS pattern across aggregated bandwidths does not preclude dropping some REs in the guardband between two PFLs</w:t>
            </w:r>
          </w:p>
          <w:p>
            <w:pPr>
              <w:numPr>
                <w:ilvl w:val="0"/>
                <w:numId w:val="6"/>
              </w:numPr>
              <w:snapToGrid w:val="0"/>
              <w:ind w:hanging="363"/>
              <w:contextualSpacing/>
              <w:jc w:val="both"/>
              <w:rPr>
                <w:rFonts w:hint="eastAsia"/>
                <w:vertAlign w:val="baseline"/>
                <w:lang w:val="en-US" w:eastAsia="zh-CN"/>
              </w:rPr>
            </w:pPr>
            <w:r>
              <w:rPr>
                <w:rFonts w:eastAsia="宋体" w:cs="Times"/>
                <w:szCs w:val="20"/>
              </w:rPr>
              <w:t>Others if any</w:t>
            </w:r>
          </w:p>
          <w:p>
            <w:pPr>
              <w:numPr>
                <w:ilvl w:val="0"/>
                <w:numId w:val="0"/>
              </w:numPr>
              <w:snapToGrid w:val="0"/>
              <w:contextualSpacing/>
              <w:jc w:val="both"/>
              <w:rPr>
                <w:rFonts w:eastAsia="宋体" w:cs="Times"/>
                <w:szCs w:val="20"/>
              </w:rPr>
            </w:pPr>
          </w:p>
          <w:p>
            <w:pPr>
              <w:numPr>
                <w:ilvl w:val="0"/>
                <w:numId w:val="0"/>
              </w:numPr>
              <w:snapToGrid w:val="0"/>
              <w:contextualSpacing/>
              <w:jc w:val="both"/>
              <w:rPr>
                <w:rFonts w:hint="eastAsia" w:eastAsia="宋体" w:cs="Times"/>
                <w:szCs w:val="20"/>
                <w:lang w:val="en-US" w:eastAsia="zh-CN"/>
              </w:rPr>
            </w:pPr>
          </w:p>
          <w:p>
            <w:pPr>
              <w:rPr>
                <w:rFonts w:hint="eastAsia"/>
                <w:vertAlign w:val="baseline"/>
                <w:lang w:val="en-US" w:eastAsia="zh-CN"/>
              </w:rPr>
            </w:pPr>
            <w:r>
              <w:rPr>
                <w:rFonts w:hint="eastAsia"/>
                <w:b/>
                <w:bCs/>
                <w:vertAlign w:val="baseline"/>
                <w:lang w:val="en-US" w:eastAsia="zh-CN"/>
              </w:rPr>
              <w:t>112 meeting</w:t>
            </w:r>
            <w:r>
              <w:rPr>
                <w:rFonts w:hint="eastAsia"/>
                <w:vertAlign w:val="baseline"/>
                <w:lang w:val="en-US" w:eastAsia="zh-CN"/>
              </w:rPr>
              <w:t>:</w:t>
            </w:r>
          </w:p>
          <w:p>
            <w:pPr>
              <w:snapToGrid w:val="0"/>
              <w:jc w:val="both"/>
              <w:rPr>
                <w:b/>
                <w:bCs/>
                <w:szCs w:val="20"/>
              </w:rPr>
            </w:pPr>
            <w:r>
              <w:rPr>
                <w:b/>
                <w:bCs/>
                <w:szCs w:val="20"/>
                <w:highlight w:val="green"/>
              </w:rPr>
              <w:t>Agreement</w:t>
            </w:r>
          </w:p>
          <w:p>
            <w:pPr>
              <w:snapToGrid w:val="0"/>
              <w:jc w:val="both"/>
              <w:rPr>
                <w:bCs/>
                <w:szCs w:val="20"/>
              </w:rPr>
            </w:pPr>
            <w:r>
              <w:rPr>
                <w:bCs/>
                <w:szCs w:val="20"/>
              </w:rPr>
              <w:t xml:space="preserve">To enable PRS bandwidth aggregation between PRS in two or three different PFLs, the following conditions should be satisfied for the aggregated PRS resources from a TRP across the aggregated PFLs:  </w:t>
            </w:r>
          </w:p>
          <w:p>
            <w:pPr>
              <w:numPr>
                <w:ilvl w:val="0"/>
                <w:numId w:val="6"/>
              </w:numPr>
              <w:snapToGrid w:val="0"/>
              <w:ind w:hanging="363"/>
              <w:contextualSpacing/>
              <w:jc w:val="both"/>
              <w:rPr>
                <w:rFonts w:eastAsia="宋体"/>
                <w:szCs w:val="20"/>
              </w:rPr>
            </w:pPr>
            <w:r>
              <w:rPr>
                <w:rFonts w:eastAsia="宋体"/>
                <w:szCs w:val="20"/>
              </w:rPr>
              <w:t xml:space="preserve">In the same slot, in same symbols, by the same TRP associated with the same ARP, from the same RF chain (i.e. the same antenna), this implies </w:t>
            </w:r>
          </w:p>
          <w:p>
            <w:pPr>
              <w:numPr>
                <w:ilvl w:val="1"/>
                <w:numId w:val="6"/>
              </w:numPr>
              <w:snapToGrid w:val="0"/>
              <w:ind w:hanging="363"/>
              <w:contextualSpacing/>
              <w:jc w:val="both"/>
              <w:rPr>
                <w:rFonts w:eastAsia="宋体"/>
                <w:szCs w:val="20"/>
              </w:rPr>
            </w:pPr>
            <w:r>
              <w:rPr>
                <w:szCs w:val="20"/>
              </w:rPr>
              <w:t>FFS: The same gNB Tx TEG and the same UE Rx TEG, the maximum TX timing error margin</w:t>
            </w:r>
          </w:p>
          <w:p>
            <w:pPr>
              <w:numPr>
                <w:ilvl w:val="1"/>
                <w:numId w:val="6"/>
              </w:numPr>
              <w:snapToGrid w:val="0"/>
              <w:ind w:hanging="363"/>
              <w:contextualSpacing/>
              <w:jc w:val="both"/>
              <w:rPr>
                <w:rFonts w:eastAsia="宋体"/>
                <w:szCs w:val="20"/>
              </w:rPr>
            </w:pPr>
            <w:r>
              <w:rPr>
                <w:rFonts w:eastAsia="宋体"/>
                <w:szCs w:val="20"/>
              </w:rPr>
              <w:t>The same QCL</w:t>
            </w:r>
          </w:p>
          <w:p>
            <w:pPr>
              <w:numPr>
                <w:ilvl w:val="0"/>
                <w:numId w:val="6"/>
              </w:numPr>
              <w:snapToGrid w:val="0"/>
              <w:contextualSpacing/>
              <w:jc w:val="both"/>
              <w:rPr>
                <w:rFonts w:eastAsia="宋体"/>
                <w:szCs w:val="20"/>
              </w:rPr>
            </w:pPr>
            <w:r>
              <w:rPr>
                <w:szCs w:val="20"/>
              </w:rPr>
              <w:t xml:space="preserve">The same number of symbols, symbol location within one slot, </w:t>
            </w:r>
            <w:r>
              <w:rPr>
                <w:rFonts w:eastAsia="宋体"/>
                <w:szCs w:val="20"/>
              </w:rPr>
              <w:t xml:space="preserve">repetition factor, </w:t>
            </w:r>
          </w:p>
          <w:p>
            <w:pPr>
              <w:numPr>
                <w:ilvl w:val="0"/>
                <w:numId w:val="6"/>
              </w:numPr>
              <w:snapToGrid w:val="0"/>
              <w:contextualSpacing/>
              <w:jc w:val="both"/>
              <w:rPr>
                <w:rFonts w:eastAsia="宋体"/>
                <w:szCs w:val="20"/>
              </w:rPr>
            </w:pPr>
            <w:r>
              <w:rPr>
                <w:szCs w:val="20"/>
              </w:rPr>
              <w:t>FFS: the same periodicity and slot offset</w:t>
            </w:r>
          </w:p>
          <w:p>
            <w:pPr>
              <w:numPr>
                <w:ilvl w:val="0"/>
                <w:numId w:val="6"/>
              </w:numPr>
              <w:snapToGrid w:val="0"/>
              <w:contextualSpacing/>
              <w:jc w:val="both"/>
              <w:rPr>
                <w:rFonts w:eastAsia="宋体"/>
                <w:szCs w:val="20"/>
              </w:rPr>
            </w:pPr>
            <w:r>
              <w:rPr>
                <w:szCs w:val="20"/>
              </w:rPr>
              <w:t>FFS muting pattern</w:t>
            </w:r>
          </w:p>
          <w:p>
            <w:pPr>
              <w:numPr>
                <w:ilvl w:val="0"/>
                <w:numId w:val="6"/>
              </w:numPr>
              <w:snapToGrid w:val="0"/>
              <w:ind w:hanging="363"/>
              <w:contextualSpacing/>
              <w:jc w:val="both"/>
              <w:rPr>
                <w:rFonts w:eastAsia="宋体"/>
                <w:szCs w:val="20"/>
              </w:rPr>
            </w:pPr>
            <w:r>
              <w:rPr>
                <w:rFonts w:eastAsia="宋体"/>
                <w:szCs w:val="20"/>
              </w:rPr>
              <w:t>The same numerology, i.e. the same CP and SCS</w:t>
            </w:r>
          </w:p>
          <w:p>
            <w:pPr>
              <w:numPr>
                <w:ilvl w:val="0"/>
                <w:numId w:val="6"/>
              </w:numPr>
              <w:snapToGrid w:val="0"/>
              <w:ind w:hanging="363"/>
              <w:contextualSpacing/>
              <w:jc w:val="both"/>
              <w:rPr>
                <w:rFonts w:eastAsia="宋体"/>
                <w:szCs w:val="20"/>
              </w:rPr>
            </w:pPr>
            <w:r>
              <w:rPr>
                <w:rFonts w:eastAsia="宋体"/>
                <w:szCs w:val="20"/>
              </w:rPr>
              <w:t>The same or different bandwidths</w:t>
            </w:r>
          </w:p>
          <w:p>
            <w:pPr>
              <w:numPr>
                <w:ilvl w:val="0"/>
                <w:numId w:val="6"/>
              </w:numPr>
              <w:snapToGrid w:val="0"/>
              <w:ind w:hanging="363"/>
              <w:contextualSpacing/>
              <w:jc w:val="both"/>
              <w:rPr>
                <w:rFonts w:eastAsia="宋体"/>
                <w:szCs w:val="20"/>
              </w:rPr>
            </w:pPr>
            <w:r>
              <w:rPr>
                <w:rFonts w:eastAsia="宋体"/>
                <w:szCs w:val="20"/>
              </w:rPr>
              <w:t>The same comb size</w:t>
            </w:r>
          </w:p>
          <w:p>
            <w:pPr>
              <w:numPr>
                <w:ilvl w:val="0"/>
                <w:numId w:val="6"/>
              </w:numPr>
              <w:snapToGrid w:val="0"/>
              <w:ind w:hanging="363"/>
              <w:contextualSpacing/>
              <w:jc w:val="both"/>
              <w:rPr>
                <w:rFonts w:eastAsia="宋体"/>
                <w:szCs w:val="20"/>
              </w:rPr>
            </w:pPr>
            <w:r>
              <w:rPr>
                <w:rFonts w:eastAsia="宋体"/>
                <w:szCs w:val="20"/>
              </w:rPr>
              <w:t xml:space="preserve">FFS: The same number of PRS resource sets and resources for a TRP </w:t>
            </w:r>
          </w:p>
          <w:p>
            <w:pPr>
              <w:numPr>
                <w:ilvl w:val="0"/>
                <w:numId w:val="6"/>
              </w:numPr>
              <w:snapToGrid w:val="0"/>
              <w:ind w:hanging="363"/>
              <w:contextualSpacing/>
              <w:jc w:val="both"/>
              <w:rPr>
                <w:rFonts w:eastAsia="宋体"/>
                <w:szCs w:val="20"/>
              </w:rPr>
            </w:pPr>
            <w:r>
              <w:rPr>
                <w:rFonts w:eastAsia="宋体"/>
                <w:szCs w:val="20"/>
              </w:rPr>
              <w:t>The same power per subcarrier</w:t>
            </w:r>
          </w:p>
          <w:p>
            <w:pPr>
              <w:numPr>
                <w:ilvl w:val="0"/>
                <w:numId w:val="6"/>
              </w:numPr>
              <w:snapToGrid w:val="0"/>
              <w:ind w:hanging="363"/>
              <w:contextualSpacing/>
              <w:jc w:val="both"/>
              <w:rPr>
                <w:rFonts w:eastAsia="宋体"/>
                <w:szCs w:val="20"/>
              </w:rPr>
            </w:pPr>
            <w:r>
              <w:rPr>
                <w:rFonts w:eastAsia="宋体"/>
                <w:szCs w:val="20"/>
              </w:rPr>
              <w:t>FFS: the</w:t>
            </w:r>
            <w:r>
              <w:rPr>
                <w:szCs w:val="20"/>
              </w:rPr>
              <w:t xml:space="preserve"> same </w:t>
            </w:r>
            <w:r>
              <w:rPr>
                <w:i/>
                <w:szCs w:val="20"/>
              </w:rPr>
              <w:t>NR-DL-PRS-SFN0-Offset</w:t>
            </w:r>
            <w:r>
              <w:rPr>
                <w:szCs w:val="20"/>
              </w:rPr>
              <w:t xml:space="preserve"> </w:t>
            </w:r>
          </w:p>
          <w:p>
            <w:pPr>
              <w:numPr>
                <w:ilvl w:val="0"/>
                <w:numId w:val="6"/>
              </w:numPr>
              <w:snapToGrid w:val="0"/>
              <w:ind w:hanging="363"/>
              <w:contextualSpacing/>
              <w:jc w:val="both"/>
              <w:rPr>
                <w:rFonts w:eastAsia="宋体"/>
                <w:szCs w:val="20"/>
              </w:rPr>
            </w:pPr>
            <w:r>
              <w:rPr>
                <w:rFonts w:eastAsia="宋体"/>
                <w:szCs w:val="20"/>
              </w:rPr>
              <w:t>Aggregated PFLs are configured on the same aligned numerology grid</w:t>
            </w:r>
          </w:p>
          <w:p>
            <w:pPr>
              <w:numPr>
                <w:ilvl w:val="0"/>
                <w:numId w:val="6"/>
              </w:numPr>
              <w:snapToGrid w:val="0"/>
              <w:ind w:hanging="363"/>
              <w:contextualSpacing/>
              <w:jc w:val="both"/>
              <w:rPr>
                <w:rFonts w:eastAsia="宋体"/>
                <w:szCs w:val="20"/>
              </w:rPr>
            </w:pPr>
            <w:r>
              <w:rPr>
                <w:rFonts w:eastAsia="宋体"/>
                <w:szCs w:val="20"/>
              </w:rPr>
              <w:t>FFS: How to maintain contiguous PRS pattern across aggregated bandwidths even in the presence of guard tones (e.g, PFLs with different RE-offset configurations, PFLs with different point A)</w:t>
            </w:r>
          </w:p>
          <w:p>
            <w:pPr>
              <w:numPr>
                <w:ilvl w:val="0"/>
                <w:numId w:val="6"/>
              </w:numPr>
              <w:snapToGrid w:val="0"/>
              <w:ind w:hanging="363"/>
              <w:contextualSpacing/>
              <w:jc w:val="both"/>
              <w:rPr>
                <w:rFonts w:eastAsia="宋体"/>
                <w:szCs w:val="20"/>
              </w:rPr>
            </w:pPr>
            <w:r>
              <w:rPr>
                <w:rFonts w:eastAsia="宋体"/>
                <w:szCs w:val="20"/>
              </w:rPr>
              <w:t xml:space="preserve">Phase continuity between aggregated PFLs </w:t>
            </w:r>
          </w:p>
          <w:p>
            <w:pPr>
              <w:rPr>
                <w:rFonts w:hint="default"/>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b/>
          <w:bCs/>
          <w:sz w:val="22"/>
          <w:szCs w:val="22"/>
          <w:lang w:val="en-US" w:eastAsia="zh-CN"/>
        </w:rPr>
      </w:pPr>
      <w:r>
        <w:rPr>
          <w:rFonts w:hint="eastAsia"/>
          <w:b/>
          <w:bCs/>
          <w:sz w:val="22"/>
          <w:szCs w:val="22"/>
          <w:lang w:val="en-US" w:eastAsia="zh-CN"/>
        </w:rPr>
        <w:t>Observation 1: RAN1 had several agreements for enabling PRS bandwidth aggregation between PRS in two or three different PFLs, and in the latest two meetings the conditions which should be satisfied for the aggregated PRS resources from a TRP across the aggregated PFLs were proposed.</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sz w:val="22"/>
          <w:szCs w:val="22"/>
          <w:lang w:val="en-US" w:eastAsia="zh-CN"/>
        </w:rPr>
      </w:pPr>
      <w:r>
        <w:rPr>
          <w:rFonts w:hint="eastAsia"/>
          <w:sz w:val="22"/>
          <w:szCs w:val="22"/>
          <w:lang w:val="en-US" w:eastAsia="zh-CN"/>
        </w:rPr>
        <w:t xml:space="preserve">For this issue RAN1 is still under the discussion,  RAN 4 could study the core requirements based on the current RAN1 outcomes firstly and the more specific conditions like </w:t>
      </w:r>
      <w:r>
        <w:rPr>
          <w:rFonts w:hint="eastAsia"/>
          <w:i/>
          <w:iCs/>
          <w:sz w:val="22"/>
          <w:szCs w:val="22"/>
          <w:lang w:val="en-US" w:eastAsia="zh-CN"/>
        </w:rPr>
        <w:t>The same gNB Tx TEG and the same UE Rx TEG, the maximum TX timing error margin</w:t>
      </w:r>
      <w:r>
        <w:rPr>
          <w:rFonts w:hint="eastAsia"/>
          <w:sz w:val="22"/>
          <w:szCs w:val="22"/>
          <w:lang w:val="en-US" w:eastAsia="zh-CN"/>
        </w:rPr>
        <w:t xml:space="preserve"> will be discussed in RAN1 in the future meeting.</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b/>
          <w:bCs/>
          <w:sz w:val="22"/>
          <w:szCs w:val="22"/>
          <w:lang w:val="en-US" w:eastAsia="zh-CN"/>
        </w:rPr>
      </w:pPr>
      <w:r>
        <w:rPr>
          <w:rFonts w:hint="eastAsia"/>
          <w:b/>
          <w:bCs/>
          <w:sz w:val="22"/>
          <w:szCs w:val="22"/>
          <w:lang w:val="en-US" w:eastAsia="zh-CN"/>
        </w:rPr>
        <w:t>Proposal 1: RAN4 shall study the core requirements based on the current RAN1 progress as below:</w:t>
      </w:r>
    </w:p>
    <w:p>
      <w:pPr>
        <w:numPr>
          <w:ilvl w:val="0"/>
          <w:numId w:val="7"/>
        </w:numPr>
        <w:ind w:left="420" w:leftChars="0" w:hanging="420" w:firstLineChars="0"/>
        <w:rPr>
          <w:b/>
          <w:bCs/>
          <w:sz w:val="22"/>
          <w:szCs w:val="22"/>
        </w:rPr>
      </w:pPr>
      <w:r>
        <w:rPr>
          <w:rFonts w:eastAsia="宋体"/>
          <w:b/>
          <w:bCs/>
          <w:sz w:val="22"/>
          <w:szCs w:val="22"/>
        </w:rPr>
        <w:t>In the same slot, in same symbols, by the same TRP associated with the same ARP, from the same RF chain (i.e. the same antenna)</w:t>
      </w:r>
    </w:p>
    <w:p>
      <w:pPr>
        <w:numPr>
          <w:ilvl w:val="0"/>
          <w:numId w:val="7"/>
        </w:numPr>
        <w:ind w:left="420" w:leftChars="0" w:hanging="420" w:firstLineChars="0"/>
        <w:rPr>
          <w:b/>
          <w:bCs/>
          <w:sz w:val="22"/>
          <w:szCs w:val="22"/>
        </w:rPr>
      </w:pPr>
      <w:r>
        <w:rPr>
          <w:b/>
          <w:bCs/>
          <w:sz w:val="22"/>
          <w:szCs w:val="22"/>
        </w:rPr>
        <w:t xml:space="preserve">The same number of symbols, symbol location within one slot, </w:t>
      </w:r>
      <w:r>
        <w:rPr>
          <w:rFonts w:eastAsia="宋体"/>
          <w:b/>
          <w:bCs/>
          <w:sz w:val="22"/>
          <w:szCs w:val="22"/>
        </w:rPr>
        <w:t>repetition factor,</w:t>
      </w:r>
    </w:p>
    <w:p>
      <w:pPr>
        <w:numPr>
          <w:ilvl w:val="0"/>
          <w:numId w:val="7"/>
        </w:numPr>
        <w:ind w:left="420" w:leftChars="0" w:hanging="420" w:firstLineChars="0"/>
        <w:rPr>
          <w:b/>
          <w:bCs/>
          <w:sz w:val="22"/>
          <w:szCs w:val="22"/>
        </w:rPr>
      </w:pPr>
      <w:r>
        <w:rPr>
          <w:b/>
          <w:bCs/>
          <w:sz w:val="22"/>
          <w:szCs w:val="22"/>
        </w:rPr>
        <w:t>The same numerology, i.e. the same CP and SCS</w:t>
      </w:r>
    </w:p>
    <w:p>
      <w:pPr>
        <w:numPr>
          <w:ilvl w:val="0"/>
          <w:numId w:val="7"/>
        </w:numPr>
        <w:ind w:left="420" w:leftChars="0" w:hanging="420" w:firstLineChars="0"/>
        <w:rPr>
          <w:b/>
          <w:bCs/>
          <w:sz w:val="22"/>
          <w:szCs w:val="22"/>
        </w:rPr>
      </w:pPr>
      <w:r>
        <w:rPr>
          <w:b/>
          <w:bCs/>
          <w:sz w:val="22"/>
          <w:szCs w:val="22"/>
        </w:rPr>
        <w:t>The same or different bandwidths</w:t>
      </w:r>
    </w:p>
    <w:p>
      <w:pPr>
        <w:numPr>
          <w:ilvl w:val="0"/>
          <w:numId w:val="7"/>
        </w:numPr>
        <w:ind w:left="420" w:leftChars="0" w:hanging="420" w:firstLineChars="0"/>
        <w:rPr>
          <w:b/>
          <w:bCs/>
          <w:sz w:val="22"/>
          <w:szCs w:val="22"/>
        </w:rPr>
      </w:pPr>
      <w:r>
        <w:rPr>
          <w:b/>
          <w:bCs/>
          <w:sz w:val="22"/>
          <w:szCs w:val="22"/>
        </w:rPr>
        <w:t>The same comb size</w:t>
      </w:r>
    </w:p>
    <w:p>
      <w:pPr>
        <w:numPr>
          <w:ilvl w:val="0"/>
          <w:numId w:val="7"/>
        </w:numPr>
        <w:ind w:left="420" w:leftChars="0" w:hanging="420" w:firstLineChars="0"/>
        <w:rPr>
          <w:b/>
          <w:bCs/>
          <w:sz w:val="22"/>
          <w:szCs w:val="22"/>
        </w:rPr>
      </w:pPr>
      <w:r>
        <w:rPr>
          <w:b/>
          <w:bCs/>
          <w:sz w:val="22"/>
          <w:szCs w:val="22"/>
        </w:rPr>
        <w:t>The same power per subcarrier</w:t>
      </w:r>
    </w:p>
    <w:p>
      <w:pPr>
        <w:numPr>
          <w:ilvl w:val="0"/>
          <w:numId w:val="7"/>
        </w:numPr>
        <w:ind w:left="420" w:leftChars="0" w:hanging="420" w:firstLineChars="0"/>
        <w:rPr>
          <w:b/>
          <w:bCs/>
          <w:sz w:val="22"/>
          <w:szCs w:val="22"/>
        </w:rPr>
      </w:pPr>
      <w:r>
        <w:rPr>
          <w:b/>
          <w:bCs/>
          <w:sz w:val="22"/>
          <w:szCs w:val="22"/>
        </w:rPr>
        <w:t>Aggregated PFLs are configured on the same aligned numerology grid</w:t>
      </w:r>
    </w:p>
    <w:p>
      <w:pPr>
        <w:numPr>
          <w:ilvl w:val="0"/>
          <w:numId w:val="7"/>
        </w:numPr>
        <w:ind w:left="420" w:leftChars="0" w:hanging="420" w:firstLineChars="0"/>
        <w:rPr>
          <w:b/>
          <w:bCs/>
          <w:sz w:val="22"/>
          <w:szCs w:val="22"/>
        </w:rPr>
      </w:pPr>
      <w:r>
        <w:rPr>
          <w:b/>
          <w:bCs/>
          <w:sz w:val="22"/>
          <w:szCs w:val="22"/>
        </w:rPr>
        <w:t xml:space="preserve">Phase continuity between aggregated PFLs </w:t>
      </w:r>
    </w:p>
    <w:p>
      <w:pPr>
        <w:rPr>
          <w:rFonts w:hint="default"/>
          <w:lang w:val="en-US" w:eastAsia="zh-CN"/>
        </w:r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before="240" w:after="0"/>
              <w:rPr>
                <w:b/>
                <w:bCs/>
                <w:sz w:val="22"/>
                <w:szCs w:val="22"/>
                <w:highlight w:val="yellow"/>
                <w:u w:val="single"/>
              </w:rPr>
            </w:pPr>
            <w:r>
              <w:rPr>
                <w:b/>
                <w:bCs/>
                <w:sz w:val="22"/>
                <w:szCs w:val="22"/>
                <w:highlight w:val="yellow"/>
                <w:u w:val="single"/>
              </w:rPr>
              <w:t>Issue 3-2-3: PRS measurement period for PRS/SRS bandwidth aggregation:</w:t>
            </w:r>
          </w:p>
          <w:p>
            <w:pPr>
              <w:spacing w:before="120"/>
              <w:rPr>
                <w:rFonts w:eastAsiaTheme="minorEastAsia"/>
                <w:b/>
                <w:bCs/>
                <w:iCs/>
                <w:sz w:val="22"/>
                <w:szCs w:val="22"/>
                <w:u w:val="single"/>
                <w:lang w:val="en-US" w:eastAsia="zh-CN"/>
              </w:rPr>
            </w:pPr>
            <w:r>
              <w:rPr>
                <w:rFonts w:eastAsiaTheme="minorEastAsia"/>
                <w:b/>
                <w:bCs/>
                <w:iCs/>
                <w:sz w:val="22"/>
                <w:szCs w:val="22"/>
                <w:highlight w:val="green"/>
                <w:u w:val="single"/>
                <w:lang w:val="en-US" w:eastAsia="zh-CN"/>
              </w:rPr>
              <w:t>A</w:t>
            </w:r>
            <w:r>
              <w:rPr>
                <w:rFonts w:hint="eastAsia" w:eastAsiaTheme="minorEastAsia"/>
                <w:b/>
                <w:bCs/>
                <w:iCs/>
                <w:sz w:val="22"/>
                <w:szCs w:val="22"/>
                <w:highlight w:val="green"/>
                <w:u w:val="single"/>
                <w:lang w:val="en-US" w:eastAsia="zh-CN"/>
              </w:rPr>
              <w:t>greements</w:t>
            </w:r>
            <w:r>
              <w:rPr>
                <w:rFonts w:hint="eastAsia" w:eastAsiaTheme="minorEastAsia"/>
                <w:i/>
                <w:sz w:val="22"/>
                <w:szCs w:val="22"/>
                <w:highlight w:val="green"/>
                <w:lang w:val="en-US" w:eastAsia="zh-CN"/>
              </w:rPr>
              <w:t>:</w:t>
            </w:r>
          </w:p>
          <w:p>
            <w:pPr>
              <w:numPr>
                <w:ilvl w:val="0"/>
                <w:numId w:val="4"/>
              </w:numPr>
              <w:spacing w:after="0" w:line="252" w:lineRule="auto"/>
              <w:ind w:left="357" w:hanging="357"/>
              <w:rPr>
                <w:sz w:val="22"/>
                <w:szCs w:val="22"/>
                <w:lang w:val="en-US" w:eastAsia="ja-JP"/>
              </w:rPr>
            </w:pPr>
            <w:r>
              <w:rPr>
                <w:rFonts w:eastAsiaTheme="minorEastAsia"/>
                <w:iCs/>
                <w:sz w:val="22"/>
                <w:szCs w:val="22"/>
                <w:lang w:val="en-US" w:eastAsia="zh-CN"/>
              </w:rPr>
              <w:t>PRS measurement period for PRS/SRS bandwidth aggregation:</w:t>
            </w:r>
          </w:p>
          <w:p>
            <w:pPr>
              <w:pStyle w:val="70"/>
              <w:numPr>
                <w:ilvl w:val="0"/>
                <w:numId w:val="4"/>
              </w:numPr>
              <w:overflowPunct w:val="0"/>
              <w:autoSpaceDE w:val="0"/>
              <w:autoSpaceDN w:val="0"/>
              <w:adjustRightInd w:val="0"/>
              <w:spacing w:before="120" w:after="120"/>
              <w:contextualSpacing w:val="0"/>
              <w:textAlignment w:val="baseline"/>
              <w:rPr>
                <w:rFonts w:ascii="Times New Roman" w:hAnsi="Times New Roman" w:eastAsiaTheme="minorEastAsia"/>
                <w:iCs/>
                <w:szCs w:val="22"/>
                <w:lang w:eastAsia="zh-CN"/>
              </w:rPr>
            </w:pPr>
            <w:r>
              <w:rPr>
                <w:rFonts w:ascii="Times New Roman" w:hAnsi="Times New Roman" w:eastAsiaTheme="minorEastAsia"/>
                <w:iCs/>
                <w:szCs w:val="22"/>
                <w:lang w:eastAsia="zh-CN"/>
              </w:rPr>
              <w:t>Option 1:</w:t>
            </w:r>
          </w:p>
          <w:p>
            <w:pPr>
              <w:pStyle w:val="70"/>
              <w:numPr>
                <w:ilvl w:val="1"/>
                <w:numId w:val="4"/>
              </w:numPr>
              <w:overflowPunct w:val="0"/>
              <w:autoSpaceDE w:val="0"/>
              <w:autoSpaceDN w:val="0"/>
              <w:adjustRightInd w:val="0"/>
              <w:spacing w:after="120"/>
              <w:contextualSpacing w:val="0"/>
              <w:textAlignment w:val="baseline"/>
              <w:rPr>
                <w:rFonts w:ascii="Times New Roman" w:hAnsi="Times New Roman" w:eastAsiaTheme="minorEastAsia"/>
                <w:iCs/>
                <w:szCs w:val="22"/>
                <w:lang w:eastAsia="zh-CN"/>
              </w:rPr>
            </w:pPr>
            <w:r>
              <w:rPr>
                <w:rFonts w:ascii="Times New Roman" w:hAnsi="Times New Roman" w:eastAsiaTheme="minorEastAsia"/>
                <w:iCs/>
                <w:szCs w:val="22"/>
                <w:lang w:eastAsia="zh-CN"/>
              </w:rPr>
              <w:t>Existing PRS measurement period requirements in Rel-17 can be used as baseline for defining corresponding PRS measurement period requirements for PRS/SRS bandwidth aggregation.</w:t>
            </w:r>
          </w:p>
          <w:p>
            <w:pPr>
              <w:pStyle w:val="70"/>
              <w:numPr>
                <w:ilvl w:val="2"/>
                <w:numId w:val="4"/>
              </w:numPr>
              <w:overflowPunct w:val="0"/>
              <w:autoSpaceDE w:val="0"/>
              <w:autoSpaceDN w:val="0"/>
              <w:adjustRightInd w:val="0"/>
              <w:spacing w:after="120"/>
              <w:contextualSpacing w:val="0"/>
              <w:textAlignment w:val="baseline"/>
              <w:rPr>
                <w:rFonts w:ascii="Times New Roman" w:hAnsi="Times New Roman" w:eastAsiaTheme="minorEastAsia"/>
                <w:iCs/>
                <w:szCs w:val="22"/>
                <w:highlight w:val="none"/>
                <w:lang w:eastAsia="zh-CN"/>
              </w:rPr>
            </w:pPr>
            <w:r>
              <w:rPr>
                <w:rFonts w:ascii="Times New Roman" w:hAnsi="Times New Roman" w:eastAsiaTheme="minorEastAsia"/>
                <w:iCs/>
                <w:szCs w:val="22"/>
                <w:highlight w:val="yellow"/>
                <w:lang w:eastAsia="zh-CN"/>
              </w:rPr>
              <w:t>Details related to e.g. PFLs, PRS periodicity etc., are FFS</w:t>
            </w:r>
            <w:r>
              <w:rPr>
                <w:rFonts w:hint="eastAsia" w:ascii="Times New Roman" w:hAnsi="Times New Roman" w:eastAsiaTheme="minorEastAsia"/>
                <w:iCs/>
                <w:szCs w:val="22"/>
                <w:highlight w:val="yellow"/>
                <w:lang w:val="en-US" w:eastAsia="zh-CN"/>
              </w:rPr>
              <w:t xml:space="preserve"> </w:t>
            </w:r>
          </w:p>
          <w:p>
            <w:pPr>
              <w:numPr>
                <w:ilvl w:val="0"/>
                <w:numId w:val="4"/>
              </w:numPr>
              <w:spacing w:after="0" w:line="252" w:lineRule="auto"/>
              <w:rPr>
                <w:sz w:val="22"/>
                <w:szCs w:val="22"/>
                <w:lang w:val="en-US" w:eastAsia="ja-JP"/>
              </w:rPr>
            </w:pPr>
            <w:r>
              <w:rPr>
                <w:rFonts w:eastAsiaTheme="minorEastAsia"/>
                <w:iCs/>
                <w:sz w:val="22"/>
                <w:szCs w:val="22"/>
                <w:lang w:val="en-US" w:eastAsia="zh-CN"/>
              </w:rPr>
              <w:t>Other options are not precluded.</w:t>
            </w:r>
          </w:p>
          <w:p>
            <w:pPr>
              <w:spacing w:before="240" w:after="0"/>
              <w:rPr>
                <w:b/>
                <w:bCs/>
                <w:sz w:val="22"/>
                <w:szCs w:val="22"/>
                <w:u w:val="single"/>
              </w:rPr>
            </w:pPr>
            <w:r>
              <w:rPr>
                <w:b/>
                <w:bCs/>
                <w:sz w:val="22"/>
                <w:szCs w:val="22"/>
                <w:u w:val="single"/>
              </w:rPr>
              <w:t>Issue 3-2-4: Impact of PRS/SRS bandwidth aggregation on CA for communication:</w:t>
            </w:r>
          </w:p>
          <w:p>
            <w:pPr>
              <w:spacing w:before="120"/>
              <w:rPr>
                <w:rFonts w:eastAsiaTheme="minorEastAsia"/>
                <w:b/>
                <w:bCs/>
                <w:iCs/>
                <w:sz w:val="22"/>
                <w:szCs w:val="22"/>
                <w:u w:val="single"/>
                <w:lang w:val="en-US" w:eastAsia="zh-CN"/>
              </w:rPr>
            </w:pPr>
            <w:r>
              <w:rPr>
                <w:rFonts w:eastAsiaTheme="minorEastAsia"/>
                <w:b/>
                <w:bCs/>
                <w:iCs/>
                <w:sz w:val="22"/>
                <w:szCs w:val="22"/>
                <w:highlight w:val="green"/>
                <w:u w:val="single"/>
                <w:lang w:val="en-US" w:eastAsia="zh-CN"/>
              </w:rPr>
              <w:t>A</w:t>
            </w:r>
            <w:r>
              <w:rPr>
                <w:rFonts w:hint="eastAsia" w:eastAsiaTheme="minorEastAsia"/>
                <w:b/>
                <w:bCs/>
                <w:iCs/>
                <w:sz w:val="22"/>
                <w:szCs w:val="22"/>
                <w:highlight w:val="green"/>
                <w:u w:val="single"/>
                <w:lang w:val="en-US" w:eastAsia="zh-CN"/>
              </w:rPr>
              <w:t>greements</w:t>
            </w:r>
            <w:r>
              <w:rPr>
                <w:rFonts w:hint="eastAsia" w:eastAsiaTheme="minorEastAsia"/>
                <w:i/>
                <w:sz w:val="22"/>
                <w:szCs w:val="22"/>
                <w:highlight w:val="green"/>
                <w:lang w:val="en-US" w:eastAsia="zh-CN"/>
              </w:rPr>
              <w:t>:</w:t>
            </w:r>
          </w:p>
          <w:p>
            <w:pPr>
              <w:pStyle w:val="70"/>
              <w:numPr>
                <w:ilvl w:val="0"/>
                <w:numId w:val="4"/>
              </w:numPr>
              <w:rPr>
                <w:rFonts w:ascii="Times New Roman" w:hAnsi="Times New Roman"/>
                <w:szCs w:val="22"/>
                <w:lang w:eastAsia="ja-JP"/>
              </w:rPr>
            </w:pPr>
            <w:r>
              <w:rPr>
                <w:rFonts w:ascii="Times New Roman" w:hAnsi="Times New Roman"/>
                <w:szCs w:val="22"/>
                <w:lang w:eastAsia="ja-JP"/>
              </w:rPr>
              <w:t>PRS measurement with PRS/SRS bandwidth aggregation performed in gaps does not impact the ongoing CA/DC for communication except that no data scheduling is possible during the gaps.</w:t>
            </w:r>
          </w:p>
          <w:p>
            <w:pPr>
              <w:rPr>
                <w:rFonts w:hint="default"/>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sz w:val="22"/>
          <w:szCs w:val="22"/>
          <w:lang w:val="en-US" w:eastAsia="zh-CN"/>
        </w:rPr>
      </w:pPr>
      <w:r>
        <w:rPr>
          <w:rFonts w:hint="eastAsia" w:eastAsia="宋体"/>
          <w:sz w:val="22"/>
          <w:szCs w:val="22"/>
          <w:lang w:val="en-US" w:eastAsia="zh-CN"/>
        </w:rPr>
        <w:t>In this meeting, we mainly focus on the measurement period on bandwidth aggregation for positioning measurements across up to three intra-band contiguous carriers, and the legacy measurement period can be used as baseline. T</w:t>
      </w:r>
      <w:r>
        <w:rPr>
          <w:sz w:val="22"/>
          <w:szCs w:val="22"/>
        </w:rPr>
        <w:t>he measurement period for positioning is calculated on a basis of PFL</w:t>
      </w:r>
      <w:r>
        <w:rPr>
          <w:rFonts w:hint="eastAsia" w:eastAsia="宋体"/>
          <w:sz w:val="22"/>
          <w:szCs w:val="22"/>
          <w:lang w:val="en-US" w:eastAsia="zh-CN"/>
        </w:rPr>
        <w:t>i</w:t>
      </w:r>
      <w:r>
        <w:rPr>
          <w:sz w:val="22"/>
          <w:szCs w:val="22"/>
        </w:rPr>
        <w:t xml:space="preserve"> (</w:t>
      </w:r>
      <w:r>
        <w:rPr>
          <w:rFonts w:hint="eastAsia" w:eastAsia="宋体"/>
          <w:sz w:val="22"/>
          <w:szCs w:val="22"/>
          <w:lang w:val="en-US" w:eastAsia="zh-CN"/>
        </w:rPr>
        <w:t>i</w:t>
      </w:r>
      <w:r>
        <w:rPr>
          <w:sz w:val="22"/>
          <w:szCs w:val="22"/>
        </w:rPr>
        <w:t xml:space="preserve"> is the index of PFL). Inside one positioning measurement gap config the UE is only expected to measure a single DL-PRS PFL. And different positioning MG is not overlapping in time domain</w:t>
      </w:r>
      <w:r>
        <w:rPr>
          <w:rFonts w:hint="eastAsia" w:eastAsia="宋体"/>
          <w:sz w:val="22"/>
          <w:szCs w:val="22"/>
          <w:lang w:val="en-US" w:eastAsia="zh-CN"/>
        </w:rPr>
        <w:t xml:space="preserve"> as shown in figure 3</w:t>
      </w:r>
      <w:r>
        <w:rPr>
          <w:sz w:val="22"/>
          <w:szCs w:val="22"/>
        </w:rPr>
        <w:t>.</w:t>
      </w:r>
      <w:r>
        <w:rPr>
          <w:rFonts w:hint="eastAsia" w:eastAsia="宋体"/>
          <w:sz w:val="22"/>
          <w:szCs w:val="22"/>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sz w:val="22"/>
          <w:szCs w:val="22"/>
          <w:lang w:val="en-US" w:eastAsia="zh-CN"/>
        </w:rPr>
      </w:pPr>
      <w:r>
        <w:rPr>
          <w:rFonts w:hint="eastAsia"/>
          <w:sz w:val="22"/>
          <w:szCs w:val="22"/>
        </w:rPr>
        <w:t>However, in CA scenario DL-PRS RSTD/RSRP/RSRPP/Rx-Tx time difference are not measured separately on multiple aggregated PFL, PFL as the basis of calculating measurement period may not be very appropriate and accurate.</w:t>
      </w:r>
      <w:r>
        <w:rPr>
          <w:rFonts w:hint="eastAsia" w:eastAsia="宋体"/>
          <w:sz w:val="22"/>
          <w:szCs w:val="22"/>
          <w:lang w:val="en-US" w:eastAsia="zh-CN"/>
        </w:rPr>
        <w:t xml:space="preserve"> </w:t>
      </w:r>
      <w:r>
        <w:rPr>
          <w:rFonts w:hint="eastAsia"/>
          <w:sz w:val="22"/>
          <w:szCs w:val="22"/>
        </w:rPr>
        <w:t>The measurement period of DL-PRS measured simultaneously in multiple PFLs should be no smaller or larger than that of DL-PRS measured in one PFL but no larger than or smaller than the sum of measurement period of multiple PFLs</w:t>
      </w:r>
      <w:r>
        <w:rPr>
          <w:rFonts w:hint="eastAsia" w:eastAsia="宋体"/>
          <w:sz w:val="22"/>
          <w:szCs w:val="22"/>
          <w:lang w:val="en-US" w:eastAsia="zh-CN"/>
        </w:rPr>
        <w:t xml:space="preserve"> as shown in figure 4.</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rPr>
      </w:pPr>
      <w:r>
        <w:rPr>
          <w:rFonts w:hint="eastAsia"/>
          <w:sz w:val="22"/>
          <w:szCs w:val="22"/>
        </w:rPr>
        <w:t xml:space="preserve">In the following paragraphs, we provide </w:t>
      </w:r>
      <w:r>
        <w:rPr>
          <w:rFonts w:hint="eastAsia" w:eastAsia="宋体"/>
          <w:sz w:val="22"/>
          <w:szCs w:val="22"/>
          <w:lang w:val="en-US" w:eastAsia="zh-CN"/>
        </w:rPr>
        <w:t>the</w:t>
      </w:r>
      <w:r>
        <w:rPr>
          <w:rFonts w:hint="eastAsia"/>
          <w:sz w:val="22"/>
          <w:szCs w:val="22"/>
        </w:rPr>
        <w:t xml:space="preserve"> </w:t>
      </w:r>
      <w:r>
        <w:rPr>
          <w:rFonts w:hint="eastAsia" w:eastAsia="宋体"/>
          <w:sz w:val="22"/>
          <w:szCs w:val="22"/>
          <w:lang w:val="en-US" w:eastAsia="zh-CN"/>
        </w:rPr>
        <w:t>analysis</w:t>
      </w:r>
      <w:r>
        <w:rPr>
          <w:rFonts w:hint="eastAsia"/>
          <w:sz w:val="22"/>
          <w:szCs w:val="22"/>
        </w:rPr>
        <w:t xml:space="preserve">: </w:t>
      </w:r>
    </w:p>
    <w:p>
      <w:pPr>
        <w:keepNext w:val="0"/>
        <w:keepLines w:val="0"/>
        <w:pageBreakBefore w:val="0"/>
        <w:widowControl/>
        <w:kinsoku/>
        <w:wordWrap/>
        <w:overflowPunct/>
        <w:topLinePunct w:val="0"/>
        <w:autoSpaceDE/>
        <w:autoSpaceDN/>
        <w:bidi w:val="0"/>
        <w:adjustRightInd/>
        <w:snapToGrid/>
        <w:spacing w:line="360" w:lineRule="auto"/>
        <w:jc w:val="center"/>
        <w:textAlignment w:val="auto"/>
      </w:pPr>
      <w:r>
        <w:drawing>
          <wp:inline distT="0" distB="0" distL="0" distR="0">
            <wp:extent cx="4182110" cy="30054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182110" cy="3005455"/>
                    </a:xfrm>
                    <a:prstGeom prst="rect">
                      <a:avLst/>
                    </a:prstGeom>
                    <a:noFill/>
                  </pic:spPr>
                </pic:pic>
              </a:graphicData>
            </a:graphic>
          </wp:inline>
        </w:drawing>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eastAsia="宋体"/>
          <w:lang w:val="en-US" w:eastAsia="zh-CN"/>
        </w:rPr>
      </w:pPr>
      <w:r>
        <w:rPr>
          <w:rFonts w:hint="eastAsia" w:eastAsia="宋体"/>
          <w:lang w:val="en-US" w:eastAsia="zh-CN"/>
        </w:rPr>
        <w:t>Figure 3</w:t>
      </w:r>
    </w:p>
    <w:p>
      <w:pPr>
        <w:keepNext w:val="0"/>
        <w:keepLines w:val="0"/>
        <w:pageBreakBefore w:val="0"/>
        <w:widowControl/>
        <w:kinsoku/>
        <w:wordWrap/>
        <w:overflowPunct/>
        <w:topLinePunct w:val="0"/>
        <w:autoSpaceDE/>
        <w:autoSpaceDN/>
        <w:bidi w:val="0"/>
        <w:adjustRightInd/>
        <w:snapToGrid/>
        <w:spacing w:line="360" w:lineRule="auto"/>
        <w:jc w:val="center"/>
        <w:textAlignment w:val="auto"/>
      </w:pPr>
      <w:r>
        <w:drawing>
          <wp:inline distT="0" distB="0" distL="0" distR="0">
            <wp:extent cx="4176395" cy="30118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176395" cy="3011805"/>
                    </a:xfrm>
                    <a:prstGeom prst="rect">
                      <a:avLst/>
                    </a:prstGeom>
                    <a:noFill/>
                  </pic:spPr>
                </pic:pic>
              </a:graphicData>
            </a:graphic>
          </wp:inline>
        </w:drawing>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lang w:val="en-US" w:eastAsia="zh-CN"/>
        </w:rPr>
      </w:pPr>
      <w:r>
        <w:rPr>
          <w:rFonts w:hint="eastAsia" w:eastAsia="宋体"/>
          <w:lang w:val="en-US" w:eastAsia="zh-CN"/>
        </w:rPr>
        <w:t>Figure 4</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As the illustrations shown, in order to aggregate PRS resources across different PFLs, UE will receive all target resources from different PFLs and measure them across a larger bandwidth to improve performance, when defining the measurement period, the legacy requirements in TS38.133 can be as baseline:</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eastAsia="宋体"/>
          <w:b/>
          <w:bCs/>
          <w:lang w:val="en-US" w:eastAsia="zh-CN"/>
        </w:rPr>
      </w:pPr>
      <w:r>
        <w:rPr>
          <w:rFonts w:hint="eastAsia" w:eastAsia="宋体"/>
          <w:b/>
          <w:bCs/>
          <w:lang w:val="en-US" w:eastAsia="zh-CN"/>
        </w:rPr>
        <w:t>Connected or Inactive mode</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rPr>
                <w:i/>
                <w:iCs/>
                <w:u w:val="single"/>
              </w:rPr>
            </w:pPr>
            <w:r>
              <w:rPr>
                <w:i/>
                <w:iCs/>
                <w:u w:val="single"/>
                <w:lang w:eastAsia="zh-CN"/>
              </w:rPr>
              <w:t xml:space="preserve">After receiving both </w:t>
            </w:r>
            <w:r>
              <w:rPr>
                <w:i/>
                <w:iCs/>
                <w:u w:val="single"/>
              </w:rPr>
              <w:t>NR-TDOA-ProvideAssistanceData message and NR-TDOA-RequestLocationInformation message from the LMF via LPP [34], the UE shall be able to measure multiple (</w:t>
            </w:r>
            <w:r>
              <w:rPr>
                <w:rFonts w:cs="Arial"/>
                <w:i/>
                <w:iCs/>
                <w:u w:val="single"/>
              </w:rPr>
              <w:t>up to the UE capability specified in Clause 5.6.2.3</w:t>
            </w:r>
            <w:r>
              <w:rPr>
                <w:i/>
                <w:iCs/>
                <w:u w:val="single"/>
              </w:rPr>
              <w:t xml:space="preserve">) DL RSTD measurements, defined in TS 38.215 [4], </w:t>
            </w:r>
            <w:r>
              <w:rPr>
                <w:i/>
                <w:iCs/>
                <w:u w:val="single"/>
                <w:lang w:eastAsia="zh-CN"/>
              </w:rPr>
              <w:t>during</w:t>
            </w:r>
            <w:r>
              <w:rPr>
                <w:i/>
                <w:iCs/>
                <w:u w:val="single"/>
              </w:rPr>
              <w:t xml:space="preserve"> the measurement period </w:t>
            </w:r>
            <m:oMath>
              <m:sSub>
                <m:sSubPr>
                  <m:ctrlPr>
                    <w:rPr>
                      <w:rFonts w:ascii="Cambria Math" w:hAnsi="Cambria Math"/>
                      <w:i/>
                      <w:iCs/>
                      <w:sz w:val="18"/>
                      <w:szCs w:val="18"/>
                      <w:u w:val="single"/>
                    </w:rPr>
                  </m:ctrlPr>
                </m:sSubPr>
                <m:e>
                  <m:r>
                    <m:rPr/>
                    <w:rPr>
                      <w:rFonts w:ascii="Cambria Math" w:hAnsi="Cambria Math"/>
                      <w:sz w:val="18"/>
                      <w:szCs w:val="18"/>
                      <w:u w:val="single"/>
                    </w:rPr>
                    <m:t>T</m:t>
                  </m:r>
                  <m:ctrlPr>
                    <w:rPr>
                      <w:rFonts w:ascii="Cambria Math" w:hAnsi="Cambria Math"/>
                      <w:i/>
                      <w:iCs/>
                      <w:sz w:val="18"/>
                      <w:szCs w:val="18"/>
                      <w:u w:val="single"/>
                    </w:rPr>
                  </m:ctrlPr>
                </m:e>
                <m:sub>
                  <m:r>
                    <m:rPr/>
                    <w:rPr>
                      <w:rFonts w:ascii="Cambria Math" w:hAnsi="Cambria Math"/>
                      <w:sz w:val="18"/>
                      <w:szCs w:val="18"/>
                      <w:u w:val="single"/>
                    </w:rPr>
                    <m:t>RSTD,Total</m:t>
                  </m:r>
                  <m:ctrlPr>
                    <w:rPr>
                      <w:rFonts w:ascii="Cambria Math" w:hAnsi="Cambria Math"/>
                      <w:i/>
                      <w:iCs/>
                      <w:sz w:val="18"/>
                      <w:szCs w:val="18"/>
                      <w:u w:val="single"/>
                    </w:rPr>
                  </m:ctrlPr>
                </m:sub>
              </m:sSub>
            </m:oMath>
            <w:r>
              <w:rPr>
                <w:i/>
                <w:iCs/>
                <w:u w:val="single"/>
              </w:rPr>
              <w:t xml:space="preserve"> defined as:</w:t>
            </w:r>
          </w:p>
          <w:p>
            <w:pPr>
              <w:pStyle w:val="33"/>
              <w:rPr>
                <w:i/>
                <w:iCs/>
                <w:u w:val="none"/>
              </w:rPr>
            </w:pPr>
            <w:r>
              <w:rPr>
                <w:i/>
                <w:iCs/>
                <w:u w:val="none"/>
              </w:rPr>
              <w:tab/>
            </w:r>
            <m:oMath>
              <m:sSub>
                <m:sSubPr>
                  <m:ctrlPr>
                    <w:rPr>
                      <w:rFonts w:ascii="Cambria Math" w:hAnsi="Cambria Math"/>
                      <w:i/>
                      <w:iCs/>
                      <w:u w:val="none"/>
                    </w:rPr>
                  </m:ctrlPr>
                </m:sSubPr>
                <m:e>
                  <m:r>
                    <m:rPr/>
                    <w:rPr>
                      <w:rFonts w:hint="default" w:ascii="Cambria Math" w:hAnsi="Cambria Math"/>
                      <w:u w:val="none"/>
                    </w:rPr>
                    <m:t>T</m:t>
                  </m:r>
                  <m:ctrlPr>
                    <w:rPr>
                      <w:rFonts w:ascii="Cambria Math" w:hAnsi="Cambria Math"/>
                      <w:i/>
                      <w:iCs/>
                      <w:u w:val="none"/>
                    </w:rPr>
                  </m:ctrlPr>
                </m:e>
                <m:sub>
                  <m:r>
                    <m:rPr/>
                    <w:rPr>
                      <w:rFonts w:hint="default" w:ascii="Cambria Math" w:hAnsi="Cambria Math"/>
                      <w:u w:val="none"/>
                    </w:rPr>
                    <m:t>RSTD,Total</m:t>
                  </m:r>
                  <m:ctrlPr>
                    <w:rPr>
                      <w:rFonts w:ascii="Cambria Math" w:hAnsi="Cambria Math"/>
                      <w:i/>
                      <w:iCs/>
                      <w:u w:val="none"/>
                    </w:rPr>
                  </m:ctrlPr>
                </m:sub>
              </m:sSub>
              <m:r>
                <m:rPr/>
                <w:rPr>
                  <w:rFonts w:ascii="Cambria Math" w:hAnsi="Cambria Math"/>
                  <w:u w:val="none"/>
                </w:rPr>
                <m:t>=</m:t>
              </m:r>
              <m:nary>
                <m:naryPr>
                  <m:chr m:val="∑"/>
                  <m:limLoc m:val="undOvr"/>
                  <m:ctrlPr>
                    <w:rPr>
                      <w:rFonts w:ascii="Cambria Math" w:hAnsi="Cambria Math"/>
                      <w:i/>
                      <w:iCs/>
                      <w:u w:val="none"/>
                    </w:rPr>
                  </m:ctrlPr>
                </m:naryPr>
                <m:sub>
                  <m:r>
                    <m:rPr/>
                    <w:rPr>
                      <w:rFonts w:hint="default" w:ascii="Cambria Math" w:hAnsi="Cambria Math"/>
                      <w:u w:val="none"/>
                    </w:rPr>
                    <m:t>i=1</m:t>
                  </m:r>
                  <m:ctrlPr>
                    <w:rPr>
                      <w:rFonts w:ascii="Cambria Math" w:hAnsi="Cambria Math"/>
                      <w:i/>
                      <w:iCs/>
                      <w:u w:val="none"/>
                    </w:rPr>
                  </m:ctrlPr>
                </m:sub>
                <m:sup>
                  <m:r>
                    <m:rPr/>
                    <w:rPr>
                      <w:rFonts w:hint="default" w:ascii="Cambria Math" w:hAnsi="Cambria Math"/>
                      <w:u w:val="none"/>
                    </w:rPr>
                    <m:t>L</m:t>
                  </m:r>
                  <m:ctrlPr>
                    <w:rPr>
                      <w:rFonts w:ascii="Cambria Math" w:hAnsi="Cambria Math"/>
                      <w:i/>
                      <w:iCs/>
                      <w:u w:val="none"/>
                    </w:rPr>
                  </m:ctrlPr>
                </m:sup>
                <m:e>
                  <m:sSub>
                    <m:sSubPr>
                      <m:ctrlPr>
                        <w:rPr>
                          <w:rFonts w:ascii="Cambria Math" w:hAnsi="Cambria Math"/>
                          <w:i/>
                          <w:iCs/>
                          <w:u w:val="none"/>
                        </w:rPr>
                      </m:ctrlPr>
                    </m:sSubPr>
                    <m:e>
                      <m:r>
                        <m:rPr/>
                        <w:rPr>
                          <w:rFonts w:hint="default" w:ascii="Cambria Math" w:hAnsi="Cambria Math"/>
                          <w:u w:val="none"/>
                        </w:rPr>
                        <m:t>T</m:t>
                      </m:r>
                      <m:ctrlPr>
                        <w:rPr>
                          <w:rFonts w:ascii="Cambria Math" w:hAnsi="Cambria Math"/>
                          <w:i/>
                          <w:iCs/>
                          <w:u w:val="none"/>
                        </w:rPr>
                      </m:ctrlPr>
                    </m:e>
                    <m:sub>
                      <m:r>
                        <m:rPr/>
                        <w:rPr>
                          <w:rFonts w:hint="default" w:ascii="Cambria Math" w:hAnsi="Cambria Math"/>
                          <w:u w:val="none"/>
                        </w:rPr>
                        <m:t>RSTD,i</m:t>
                      </m:r>
                      <m:ctrlPr>
                        <w:rPr>
                          <w:rFonts w:ascii="Cambria Math" w:hAnsi="Cambria Math"/>
                          <w:i/>
                          <w:iCs/>
                          <w:u w:val="none"/>
                        </w:rPr>
                      </m:ctrlPr>
                    </m:sub>
                  </m:sSub>
                  <m:r>
                    <m:rPr/>
                    <w:rPr>
                      <w:rFonts w:ascii="Cambria Math" w:hAnsi="Cambria Math"/>
                      <w:u w:val="none"/>
                    </w:rPr>
                    <m:t xml:space="preserve">+ </m:t>
                  </m:r>
                  <m:d>
                    <m:dPr>
                      <m:ctrlPr>
                        <w:rPr>
                          <w:rFonts w:ascii="Cambria Math" w:hAnsi="Cambria Math"/>
                          <w:bCs/>
                          <w:i/>
                          <w:iCs/>
                          <w:u w:val="none"/>
                        </w:rPr>
                      </m:ctrlPr>
                    </m:dPr>
                    <m:e>
                      <m:r>
                        <m:rPr/>
                        <w:rPr>
                          <w:rFonts w:hint="default" w:ascii="Cambria Math" w:hAnsi="Cambria Math"/>
                          <w:u w:val="none"/>
                          <w:lang w:eastAsia="zh-CN"/>
                        </w:rPr>
                        <m:t>L−1</m:t>
                      </m:r>
                      <m:ctrlPr>
                        <w:rPr>
                          <w:rFonts w:ascii="Cambria Math" w:hAnsi="Cambria Math"/>
                          <w:bCs/>
                          <w:i/>
                          <w:iCs/>
                          <w:u w:val="none"/>
                        </w:rPr>
                      </m:ctrlPr>
                    </m:e>
                  </m:d>
                  <m:r>
                    <m:rPr/>
                    <w:rPr>
                      <w:rFonts w:ascii="Cambria Math" w:hAnsi="Cambria Math"/>
                      <w:u w:val="none"/>
                      <w:lang w:eastAsia="zh-CN"/>
                    </w:rPr>
                    <m:t>∗</m:t>
                  </m:r>
                  <m:func>
                    <m:funcPr>
                      <m:ctrlPr>
                        <w:rPr>
                          <w:rFonts w:ascii="Cambria Math" w:hAnsi="Cambria Math"/>
                          <w:bCs/>
                          <w:i/>
                          <w:iCs/>
                          <w:u w:val="none"/>
                        </w:rPr>
                      </m:ctrlPr>
                    </m:funcPr>
                    <m:fName>
                      <m:r>
                        <m:rPr/>
                        <w:rPr>
                          <w:rFonts w:hint="default" w:ascii="Cambria Math" w:hAnsi="Cambria Math"/>
                          <w:u w:val="none"/>
                          <w:lang w:eastAsia="zh-CN"/>
                        </w:rPr>
                        <m:t>max</m:t>
                      </m:r>
                      <m:ctrlPr>
                        <w:rPr>
                          <w:rFonts w:ascii="Cambria Math" w:hAnsi="Cambria Math"/>
                          <w:bCs/>
                          <w:i/>
                          <w:iCs/>
                          <w:u w:val="none"/>
                        </w:rPr>
                      </m:ctrlPr>
                    </m:fName>
                    <m:e>
                      <m:d>
                        <m:dPr>
                          <m:ctrlPr>
                            <w:rPr>
                              <w:rFonts w:ascii="Cambria Math" w:hAnsi="Cambria Math"/>
                              <w:bCs/>
                              <w:i/>
                              <w:iCs/>
                              <w:u w:val="none"/>
                            </w:rPr>
                          </m:ctrlPr>
                        </m:dPr>
                        <m:e>
                          <m:sSub>
                            <m:sSubPr>
                              <m:ctrlPr>
                                <w:rPr>
                                  <w:rFonts w:ascii="Cambria Math" w:hAnsi="Cambria Math"/>
                                  <w:bCs/>
                                  <w:i/>
                                  <w:iCs/>
                                  <w:u w:val="none"/>
                                </w:rPr>
                              </m:ctrlPr>
                            </m:sSubPr>
                            <m:e>
                              <m:r>
                                <m:rPr/>
                                <w:rPr>
                                  <w:rFonts w:hint="default" w:ascii="Cambria Math" w:hAnsi="Cambria Math"/>
                                  <w:u w:val="none"/>
                                  <w:lang w:eastAsia="zh-CN"/>
                                </w:rPr>
                                <m:t>T</m:t>
                              </m:r>
                              <m:ctrlPr>
                                <w:rPr>
                                  <w:rFonts w:ascii="Cambria Math" w:hAnsi="Cambria Math"/>
                                  <w:bCs/>
                                  <w:i/>
                                  <w:iCs/>
                                  <w:u w:val="none"/>
                                </w:rPr>
                              </m:ctrlPr>
                            </m:e>
                            <m:sub>
                              <m:r>
                                <m:rPr/>
                                <w:rPr>
                                  <w:rFonts w:hint="default" w:ascii="Cambria Math" w:hAnsi="Cambria Math"/>
                                  <w:u w:val="none"/>
                                  <w:lang w:eastAsia="zh-CN"/>
                                </w:rPr>
                                <m:t>effect,i</m:t>
                              </m:r>
                              <m:ctrlPr>
                                <w:rPr>
                                  <w:rFonts w:ascii="Cambria Math" w:hAnsi="Cambria Math"/>
                                  <w:bCs/>
                                  <w:i/>
                                  <w:iCs/>
                                  <w:u w:val="none"/>
                                </w:rPr>
                              </m:ctrlPr>
                            </m:sub>
                          </m:sSub>
                          <m:ctrlPr>
                            <w:rPr>
                              <w:rFonts w:ascii="Cambria Math" w:hAnsi="Cambria Math"/>
                              <w:bCs/>
                              <w:i/>
                              <w:iCs/>
                              <w:u w:val="none"/>
                            </w:rPr>
                          </m:ctrlPr>
                        </m:e>
                      </m:d>
                      <m:ctrlPr>
                        <w:rPr>
                          <w:rFonts w:ascii="Cambria Math" w:hAnsi="Cambria Math"/>
                          <w:bCs/>
                          <w:i/>
                          <w:iCs/>
                          <w:u w:val="none"/>
                        </w:rPr>
                      </m:ctrlPr>
                    </m:e>
                  </m:func>
                  <m:r>
                    <m:rPr/>
                    <w:rPr>
                      <w:rFonts w:ascii="Cambria Math" w:hAnsi="Cambria Math"/>
                      <w:color w:val="0070C0"/>
                      <w:u w:val="none"/>
                      <w:lang w:eastAsia="zh-CN"/>
                    </w:rPr>
                    <m:t xml:space="preserve"> </m:t>
                  </m:r>
                  <m:ctrlPr>
                    <w:rPr>
                      <w:rFonts w:ascii="Cambria Math" w:hAnsi="Cambria Math"/>
                      <w:i/>
                      <w:iCs/>
                      <w:u w:val="none"/>
                    </w:rPr>
                  </m:ctrlPr>
                </m:e>
              </m:nary>
            </m:oMath>
          </w:p>
          <w:p>
            <w:pPr>
              <w:rPr>
                <w:i/>
                <w:iCs/>
                <w:u w:val="single"/>
                <w:lang w:eastAsia="zh-CN"/>
              </w:rPr>
            </w:pPr>
            <w:r>
              <w:rPr>
                <w:i/>
                <w:iCs/>
                <w:u w:val="single"/>
                <w:lang w:eastAsia="zh-CN"/>
              </w:rPr>
              <w:t>Where:</w:t>
            </w:r>
          </w:p>
          <w:p>
            <w:pPr>
              <w:pStyle w:val="49"/>
              <w:rPr>
                <w:i/>
                <w:iCs/>
                <w:highlight w:val="yellow"/>
                <w:u w:val="single"/>
                <w:lang w:eastAsia="zh-CN"/>
              </w:rPr>
            </w:pPr>
            <w:r>
              <w:rPr>
                <w:i/>
                <w:iCs/>
                <w:highlight w:val="yellow"/>
                <w:u w:val="single"/>
                <w:lang w:eastAsia="zh-CN"/>
              </w:rPr>
              <w:t>-</w:t>
            </w:r>
            <w:r>
              <w:rPr>
                <w:i/>
                <w:iCs/>
                <w:highlight w:val="yellow"/>
                <w:u w:val="single"/>
                <w:lang w:eastAsia="zh-CN"/>
              </w:rPr>
              <w:tab/>
            </w:r>
            <m:oMath>
              <m:r>
                <m:rPr/>
                <w:rPr>
                  <w:rFonts w:ascii="Cambria Math" w:hAnsi="Cambria Math"/>
                  <w:highlight w:val="yellow"/>
                  <w:u w:val="single"/>
                  <w:lang w:eastAsia="zh-CN"/>
                </w:rPr>
                <m:t>i</m:t>
              </m:r>
            </m:oMath>
            <w:r>
              <w:rPr>
                <w:i/>
                <w:iCs/>
                <w:highlight w:val="yellow"/>
                <w:u w:val="single"/>
                <w:lang w:eastAsia="zh-CN"/>
              </w:rPr>
              <w:t xml:space="preserve"> is the index of positioning frequency layer,</w:t>
            </w:r>
          </w:p>
          <w:p>
            <w:pPr>
              <w:pStyle w:val="49"/>
              <w:rPr>
                <w:i/>
                <w:iCs/>
                <w:highlight w:val="yellow"/>
                <w:u w:val="single"/>
                <w:lang w:eastAsia="zh-CN"/>
              </w:rPr>
            </w:pPr>
            <w:r>
              <w:rPr>
                <w:i/>
                <w:iCs/>
                <w:highlight w:val="yellow"/>
                <w:u w:val="single"/>
              </w:rPr>
              <w:t>-</w:t>
            </w:r>
            <w:r>
              <w:rPr>
                <w:i/>
                <w:iCs/>
                <w:highlight w:val="yellow"/>
                <w:u w:val="single"/>
              </w:rPr>
              <w:tab/>
            </w:r>
            <m:oMath>
              <m:r>
                <m:rPr/>
                <w:rPr>
                  <w:rFonts w:ascii="Cambria Math" w:hAnsi="Cambria Math"/>
                  <w:highlight w:val="yellow"/>
                  <w:u w:val="single"/>
                </w:rPr>
                <m:t>L</m:t>
              </m:r>
            </m:oMath>
            <w:r>
              <w:rPr>
                <w:i/>
                <w:iCs/>
                <w:highlight w:val="yellow"/>
                <w:u w:val="single"/>
              </w:rPr>
              <w:t xml:space="preserve"> is total number of </w:t>
            </w:r>
            <w:r>
              <w:rPr>
                <w:i/>
                <w:iCs/>
                <w:highlight w:val="yellow"/>
                <w:u w:val="single"/>
                <w:lang w:eastAsia="zh-CN"/>
              </w:rPr>
              <w:t xml:space="preserve">positioning </w:t>
            </w:r>
            <w:r>
              <w:rPr>
                <w:i/>
                <w:iCs/>
                <w:highlight w:val="yellow"/>
                <w:u w:val="single"/>
              </w:rPr>
              <w:t>frequency layers, and</w:t>
            </w:r>
          </w:p>
          <w:p>
            <w:pPr>
              <w:pStyle w:val="49"/>
              <w:rPr>
                <w:i/>
                <w:iCs/>
                <w:sz w:val="18"/>
                <w:szCs w:val="18"/>
                <w:highlight w:val="yellow"/>
                <w:u w:val="single"/>
                <w:lang w:eastAsia="zh-CN"/>
              </w:rPr>
            </w:pPr>
            <w:r>
              <w:rPr>
                <w:i/>
                <w:iCs/>
                <w:highlight w:val="yellow"/>
                <w:u w:val="single"/>
              </w:rPr>
              <w:t>-</w:t>
            </w:r>
            <w:r>
              <w:rPr>
                <w:i/>
                <w:iCs/>
                <w:highlight w:val="yellow"/>
                <w:u w:val="single"/>
              </w:rPr>
              <w:tab/>
            </w:r>
            <m:oMath>
              <m:sSub>
                <m:sSubPr>
                  <m:ctrlPr>
                    <w:rPr>
                      <w:rFonts w:ascii="Cambria Math" w:hAnsi="Cambria Math"/>
                      <w:bCs/>
                      <w:i/>
                      <w:iCs/>
                      <w:highlight w:val="yellow"/>
                      <w:u w:val="single"/>
                    </w:rPr>
                  </m:ctrlPr>
                </m:sSubPr>
                <m:e>
                  <m:r>
                    <m:rPr/>
                    <w:rPr>
                      <w:rFonts w:hint="default" w:ascii="Cambria Math" w:hAnsi="Cambria Math"/>
                      <w:highlight w:val="yellow"/>
                      <w:u w:val="single"/>
                      <w:lang w:eastAsia="zh-CN"/>
                    </w:rPr>
                    <m:t>T</m:t>
                  </m:r>
                  <m:ctrlPr>
                    <w:rPr>
                      <w:rFonts w:ascii="Cambria Math" w:hAnsi="Cambria Math"/>
                      <w:bCs/>
                      <w:i/>
                      <w:iCs/>
                      <w:highlight w:val="yellow"/>
                      <w:u w:val="single"/>
                    </w:rPr>
                  </m:ctrlPr>
                </m:e>
                <m:sub>
                  <m:r>
                    <m:rPr/>
                    <w:rPr>
                      <w:rFonts w:hint="default" w:ascii="Cambria Math" w:hAnsi="Cambria Math"/>
                      <w:highlight w:val="yellow"/>
                      <w:u w:val="single"/>
                      <w:lang w:eastAsia="zh-CN"/>
                    </w:rPr>
                    <m:t>effect,</m:t>
                  </m:r>
                  <m:r>
                    <m:rPr/>
                    <w:rPr>
                      <w:rFonts w:ascii="Cambria Math" w:hAnsi="Cambria Math"/>
                      <w:highlight w:val="yellow"/>
                      <w:u w:val="single"/>
                      <w:lang w:eastAsia="zh-CN"/>
                    </w:rPr>
                    <m:t>i</m:t>
                  </m:r>
                  <m:ctrlPr>
                    <w:rPr>
                      <w:rFonts w:ascii="Cambria Math" w:hAnsi="Cambria Math"/>
                      <w:bCs/>
                      <w:i/>
                      <w:iCs/>
                      <w:highlight w:val="yellow"/>
                      <w:u w:val="single"/>
                    </w:rPr>
                  </m:ctrlPr>
                </m:sub>
              </m:sSub>
            </m:oMath>
            <w:r>
              <w:rPr>
                <w:bCs/>
                <w:i/>
                <w:iCs/>
                <w:highlight w:val="yellow"/>
                <w:u w:val="single"/>
                <w:lang w:eastAsia="zh-CN"/>
              </w:rPr>
              <w:t xml:space="preserve"> </w:t>
            </w:r>
            <w:r>
              <w:rPr>
                <w:i/>
                <w:iCs/>
                <w:highlight w:val="yellow"/>
                <w:u w:val="single"/>
              </w:rPr>
              <w:t xml:space="preserve">is the periodicity of the </w:t>
            </w:r>
            <w:r>
              <w:rPr>
                <w:i/>
                <w:iCs/>
                <w:highlight w:val="yellow"/>
                <w:u w:val="single"/>
                <w:lang w:eastAsia="zh-CN"/>
              </w:rPr>
              <w:t>PRS RSTD</w:t>
            </w:r>
            <w:r>
              <w:rPr>
                <w:i/>
                <w:iCs/>
                <w:highlight w:val="yellow"/>
                <w:u w:val="single"/>
              </w:rPr>
              <w:t xml:space="preserve"> measurement in </w:t>
            </w:r>
            <w:r>
              <w:rPr>
                <w:i/>
                <w:iCs/>
                <w:highlight w:val="yellow"/>
                <w:u w:val="single"/>
                <w:lang w:eastAsia="zh-CN"/>
              </w:rPr>
              <w:t xml:space="preserve">positioning frequency layer i </w:t>
            </w:r>
          </w:p>
          <w:p>
            <w:pPr>
              <w:rPr>
                <w:i/>
                <w:iCs/>
                <w:u w:val="single"/>
              </w:rPr>
            </w:pPr>
            <m:oMath>
              <m:sSub>
                <m:sSubPr>
                  <m:ctrlPr>
                    <w:rPr>
                      <w:rFonts w:ascii="Cambria Math" w:hAnsi="Cambria Math"/>
                      <w:i/>
                      <w:iCs/>
                      <w:u w:val="single"/>
                    </w:rPr>
                  </m:ctrlPr>
                </m:sSubPr>
                <m:e>
                  <m:r>
                    <m:rPr/>
                    <w:rPr>
                      <w:rFonts w:hint="default" w:ascii="Cambria Math" w:hAnsi="Cambria Math"/>
                      <w:u w:val="single"/>
                      <w:lang w:eastAsia="zh-CN"/>
                    </w:rPr>
                    <m:t>T</m:t>
                  </m:r>
                  <m:ctrlPr>
                    <w:rPr>
                      <w:rFonts w:ascii="Cambria Math" w:hAnsi="Cambria Math"/>
                      <w:i/>
                      <w:iCs/>
                      <w:u w:val="single"/>
                    </w:rPr>
                  </m:ctrlPr>
                </m:e>
                <m:sub>
                  <m:r>
                    <m:rPr/>
                    <w:rPr>
                      <w:rFonts w:hint="default" w:ascii="Cambria Math" w:hAnsi="Cambria Math"/>
                      <w:u w:val="single"/>
                      <w:lang w:eastAsia="zh-CN"/>
                    </w:rPr>
                    <m:t>RSTD,i</m:t>
                  </m:r>
                  <m:ctrlPr>
                    <w:rPr>
                      <w:rFonts w:ascii="Cambria Math" w:hAnsi="Cambria Math"/>
                      <w:i/>
                      <w:iCs/>
                      <w:u w:val="single"/>
                    </w:rPr>
                  </m:ctrlPr>
                </m:sub>
              </m:sSub>
            </m:oMath>
            <w:r>
              <w:rPr>
                <w:i/>
                <w:iCs/>
                <w:u w:val="single"/>
              </w:rPr>
              <w:t xml:space="preserve"> is the measurement period for PRS RSTD measurement in </w:t>
            </w:r>
            <w:r>
              <w:rPr>
                <w:i/>
                <w:iCs/>
                <w:u w:val="single"/>
                <w:lang w:eastAsia="zh-CN"/>
              </w:rPr>
              <w:t>positioning frequency layer</w:t>
            </w:r>
            <w:r>
              <w:rPr>
                <w:i/>
                <w:iCs/>
                <w:u w:val="single"/>
              </w:rPr>
              <w:t xml:space="preserve"> i as specified below:</w:t>
            </w:r>
          </w:p>
          <w:p>
            <w:pPr>
              <w:pStyle w:val="33"/>
              <w:rPr>
                <w:b/>
                <w:bCs/>
              </w:rPr>
            </w:pPr>
            <w:r>
              <w:rPr>
                <w:i/>
                <w:iCs/>
                <w:u w:val="none"/>
              </w:rPr>
              <w:tab/>
            </w:r>
            <m:oMath>
              <m:sSub>
                <m:sSubPr>
                  <m:ctrlPr>
                    <w:rPr>
                      <w:rFonts w:ascii="Cambria Math" w:hAnsi="Cambria Math"/>
                      <w:i/>
                      <w:iCs/>
                      <w:u w:val="none"/>
                    </w:rPr>
                  </m:ctrlPr>
                </m:sSubPr>
                <m:e>
                  <m:r>
                    <m:rPr/>
                    <w:rPr>
                      <w:rFonts w:hint="default" w:ascii="Cambria Math" w:hAnsi="Cambria Math"/>
                      <w:u w:val="none"/>
                      <w:lang w:eastAsia="zh-CN"/>
                    </w:rPr>
                    <m:t>T</m:t>
                  </m:r>
                  <m:ctrlPr>
                    <w:rPr>
                      <w:rFonts w:ascii="Cambria Math" w:hAnsi="Cambria Math"/>
                      <w:i/>
                      <w:iCs/>
                      <w:u w:val="none"/>
                    </w:rPr>
                  </m:ctrlPr>
                </m:e>
                <m:sub>
                  <m:r>
                    <m:rPr/>
                    <w:rPr>
                      <w:rFonts w:hint="default" w:ascii="Cambria Math" w:hAnsi="Cambria Math"/>
                      <w:u w:val="none"/>
                      <w:lang w:eastAsia="zh-CN"/>
                    </w:rPr>
                    <m:t>RSTD,i</m:t>
                  </m:r>
                  <m:ctrlPr>
                    <w:rPr>
                      <w:rFonts w:ascii="Cambria Math" w:hAnsi="Cambria Math"/>
                      <w:i/>
                      <w:iCs/>
                      <w:u w:val="none"/>
                    </w:rPr>
                  </m:ctrlPr>
                </m:sub>
              </m:sSub>
              <m:r>
                <m:rPr/>
                <w:rPr>
                  <w:rFonts w:ascii="Cambria Math" w:hAnsi="Cambria Math"/>
                  <w:u w:val="none"/>
                  <w:lang w:eastAsia="zh-CN"/>
                </w:rPr>
                <m:t xml:space="preserve">= </m:t>
              </m:r>
              <m:sSub>
                <m:sSubPr>
                  <m:ctrlPr>
                    <w:rPr>
                      <w:rFonts w:ascii="Cambria Math" w:hAnsi="Cambria Math"/>
                      <w:i/>
                      <w:iCs/>
                      <w:u w:val="none"/>
                    </w:rPr>
                  </m:ctrlPr>
                </m:sSubPr>
                <m:e>
                  <m:d>
                    <m:dPr>
                      <m:ctrlPr>
                        <w:rPr>
                          <w:rFonts w:ascii="Cambria Math" w:hAnsi="Cambria Math"/>
                          <w:i/>
                          <w:iCs/>
                          <w:u w:val="none"/>
                        </w:rPr>
                      </m:ctrlPr>
                    </m:dPr>
                    <m:e>
                      <m:sSub>
                        <m:sSubPr>
                          <m:ctrlPr>
                            <w:rPr>
                              <w:rFonts w:ascii="Cambria Math" w:hAnsi="Cambria Math"/>
                              <w:bCs/>
                              <w:i/>
                              <w:iCs/>
                              <w:u w:val="none"/>
                            </w:rPr>
                          </m:ctrlPr>
                        </m:sSubPr>
                        <m:e>
                          <m:sSub>
                            <m:sSubPr>
                              <m:ctrlPr>
                                <w:rPr>
                                  <w:rFonts w:ascii="Cambria Math" w:hAnsi="Cambria Math"/>
                                  <w:i/>
                                  <w:iCs/>
                                  <w:u w:val="none"/>
                                </w:rPr>
                              </m:ctrlPr>
                            </m:sSubPr>
                            <m:e>
                              <m:r>
                                <m:rPr/>
                                <w:rPr>
                                  <w:rFonts w:ascii="Cambria Math" w:hAnsi="Cambria Math"/>
                                  <w:u w:val="none"/>
                                  <w:lang w:eastAsia="zh-CN"/>
                                </w:rPr>
                                <m:t>K</m:t>
                              </m:r>
                              <m:ctrlPr>
                                <w:rPr>
                                  <w:rFonts w:ascii="Cambria Math" w:hAnsi="Cambria Math"/>
                                  <w:i/>
                                  <w:iCs/>
                                  <w:u w:val="none"/>
                                </w:rPr>
                              </m:ctrlPr>
                            </m:e>
                            <m:sub>
                              <m:r>
                                <m:rPr/>
                                <w:rPr>
                                  <w:rFonts w:hint="default" w:ascii="Cambria Math" w:hAnsi="Cambria Math"/>
                                  <w:u w:val="none"/>
                                  <w:lang w:eastAsia="zh-CN"/>
                                </w:rPr>
                                <m:t>carrier_PRS</m:t>
                              </m:r>
                              <m:ctrlPr>
                                <w:rPr>
                                  <w:rFonts w:ascii="Cambria Math" w:hAnsi="Cambria Math"/>
                                  <w:i/>
                                  <w:iCs/>
                                  <w:u w:val="none"/>
                                </w:rPr>
                              </m:ctrlPr>
                            </m:sub>
                          </m:sSub>
                          <m:r>
                            <m:rPr/>
                            <w:rPr>
                              <w:rFonts w:ascii="Cambria Math" w:hAnsi="Cambria Math"/>
                              <w:u w:val="none"/>
                            </w:rPr>
                            <m:t xml:space="preserve">∗ </m:t>
                          </m:r>
                          <m:sSub>
                            <m:sSubPr>
                              <m:ctrlPr>
                                <w:rPr>
                                  <w:rFonts w:ascii="Cambria Math" w:hAnsi="Cambria Math" w:eastAsia="MS Mincho"/>
                                  <w:i/>
                                  <w:iCs/>
                                  <w:u w:val="none"/>
                                </w:rPr>
                              </m:ctrlPr>
                            </m:sSubPr>
                            <m:e>
                              <m:r>
                                <m:rPr/>
                                <w:rPr>
                                  <w:rFonts w:ascii="Cambria Math" w:hAnsi="Cambria Math" w:eastAsia="MS Mincho"/>
                                  <w:u w:val="none"/>
                                </w:rPr>
                                <m:t>N</m:t>
                              </m:r>
                              <m:ctrlPr>
                                <w:rPr>
                                  <w:rFonts w:ascii="Cambria Math" w:hAnsi="Cambria Math" w:eastAsia="MS Mincho"/>
                                  <w:i/>
                                  <w:iCs/>
                                  <w:u w:val="none"/>
                                </w:rPr>
                              </m:ctrlPr>
                            </m:e>
                            <m:sub>
                              <m:r>
                                <m:rPr/>
                                <w:rPr>
                                  <w:rFonts w:ascii="Cambria Math" w:hAnsi="Cambria Math" w:eastAsia="MS Mincho"/>
                                  <w:u w:val="none"/>
                                </w:rPr>
                                <m:t>Rx,TEG,i</m:t>
                              </m:r>
                              <m:ctrlPr>
                                <w:rPr>
                                  <w:rFonts w:ascii="Cambria Math" w:hAnsi="Cambria Math" w:eastAsia="MS Mincho"/>
                                  <w:i/>
                                  <w:iCs/>
                                  <w:u w:val="none"/>
                                </w:rPr>
                              </m:ctrlPr>
                            </m:sub>
                          </m:sSub>
                          <m:r>
                            <m:rPr/>
                            <w:rPr>
                              <w:rFonts w:ascii="Cambria Math" w:hAnsi="Cambria Math"/>
                              <w:u w:val="none"/>
                            </w:rPr>
                            <m:t>∗N</m:t>
                          </m:r>
                          <m:ctrlPr>
                            <w:rPr>
                              <w:rFonts w:ascii="Cambria Math" w:hAnsi="Cambria Math"/>
                              <w:bCs/>
                              <w:i/>
                              <w:iCs/>
                              <w:u w:val="none"/>
                            </w:rPr>
                          </m:ctrlPr>
                        </m:e>
                        <m:sub>
                          <m:r>
                            <m:rPr/>
                            <w:rPr>
                              <w:rFonts w:ascii="Cambria Math" w:hAnsi="Cambria Math"/>
                              <w:u w:val="none"/>
                            </w:rPr>
                            <m:t>RxBeam,i</m:t>
                          </m:r>
                          <m:ctrlPr>
                            <w:rPr>
                              <w:rFonts w:ascii="Cambria Math" w:hAnsi="Cambria Math"/>
                              <w:bCs/>
                              <w:i/>
                              <w:iCs/>
                              <w:u w:val="none"/>
                            </w:rPr>
                          </m:ctrlPr>
                        </m:sub>
                      </m:sSub>
                      <m:r>
                        <m:rPr/>
                        <w:rPr>
                          <w:rFonts w:ascii="Cambria Math" w:hAnsi="Cambria Math"/>
                          <w:u w:val="none"/>
                        </w:rPr>
                        <m:t>∗</m:t>
                      </m:r>
                      <m:d>
                        <m:dPr>
                          <m:begChr m:val="⌈"/>
                          <m:endChr m:val="⌉"/>
                          <m:ctrlPr>
                            <w:rPr>
                              <w:rFonts w:ascii="Cambria Math" w:hAnsi="Cambria Math"/>
                              <w:i/>
                              <w:iCs/>
                              <w:u w:val="none"/>
                            </w:rPr>
                          </m:ctrlPr>
                        </m:dPr>
                        <m:e>
                          <m:f>
                            <m:fPr>
                              <m:ctrlPr>
                                <w:rPr>
                                  <w:rFonts w:ascii="Cambria Math" w:hAnsi="Cambria Math"/>
                                  <w:i/>
                                  <w:iCs/>
                                  <w:u w:val="none"/>
                                </w:rPr>
                              </m:ctrlPr>
                            </m:fPr>
                            <m:num>
                              <m:sSubSup>
                                <m:sSubSupPr>
                                  <m:ctrlPr>
                                    <w:rPr>
                                      <w:rFonts w:ascii="Cambria Math" w:hAnsi="Cambria Math"/>
                                      <w:i/>
                                      <w:iCs/>
                                      <w:u w:val="none"/>
                                    </w:rPr>
                                  </m:ctrlPr>
                                </m:sSubSupPr>
                                <m:e>
                                  <m:r>
                                    <m:rPr/>
                                    <w:rPr>
                                      <w:rFonts w:ascii="Cambria Math" w:hAnsi="Cambria Math"/>
                                      <w:u w:val="none"/>
                                    </w:rPr>
                                    <m:t>N</m:t>
                                  </m:r>
                                  <m:ctrlPr>
                                    <w:rPr>
                                      <w:rFonts w:ascii="Cambria Math" w:hAnsi="Cambria Math"/>
                                      <w:i/>
                                      <w:iCs/>
                                      <w:u w:val="none"/>
                                    </w:rPr>
                                  </m:ctrlPr>
                                </m:e>
                                <m:sub>
                                  <m:r>
                                    <m:rPr/>
                                    <w:rPr>
                                      <w:rFonts w:ascii="Cambria Math" w:hAnsi="Cambria Math"/>
                                      <w:u w:val="none"/>
                                    </w:rPr>
                                    <m:t>PRS</m:t>
                                  </m:r>
                                  <m:r>
                                    <m:rPr>
                                      <m:nor/>
                                    </m:rPr>
                                    <w:rPr>
                                      <w:rFonts w:ascii="Cambria Math" w:hAnsi="Cambria Math"/>
                                      <w:b w:val="0"/>
                                      <w:i/>
                                      <w:iCs/>
                                      <w:u w:val="none"/>
                                    </w:rPr>
                                    <m:t>,i</m:t>
                                  </m:r>
                                  <m:ctrlPr>
                                    <w:rPr>
                                      <w:rFonts w:ascii="Cambria Math" w:hAnsi="Cambria Math"/>
                                      <w:i/>
                                      <w:iCs/>
                                      <w:u w:val="none"/>
                                    </w:rPr>
                                  </m:ctrlPr>
                                </m:sub>
                                <m:sup>
                                  <m:r>
                                    <m:rPr/>
                                    <w:rPr>
                                      <w:rFonts w:ascii="Cambria Math" w:hAnsi="Cambria Math"/>
                                      <w:u w:val="none"/>
                                    </w:rPr>
                                    <m:t>slot</m:t>
                                  </m:r>
                                  <m:ctrlPr>
                                    <w:rPr>
                                      <w:rFonts w:ascii="Cambria Math" w:hAnsi="Cambria Math"/>
                                      <w:i/>
                                      <w:iCs/>
                                      <w:u w:val="none"/>
                                    </w:rPr>
                                  </m:ctrlPr>
                                </m:sup>
                              </m:sSubSup>
                              <m:ctrlPr>
                                <w:rPr>
                                  <w:rFonts w:ascii="Cambria Math" w:hAnsi="Cambria Math"/>
                                  <w:i/>
                                  <w:iCs/>
                                  <w:u w:val="none"/>
                                </w:rPr>
                              </m:ctrlPr>
                            </m:num>
                            <m:den>
                              <m:sSup>
                                <m:sSupPr>
                                  <m:ctrlPr>
                                    <w:rPr>
                                      <w:rFonts w:ascii="Cambria Math" w:hAnsi="Cambria Math"/>
                                      <w:i/>
                                      <w:iCs/>
                                      <w:u w:val="none"/>
                                    </w:rPr>
                                  </m:ctrlPr>
                                </m:sSupPr>
                                <m:e>
                                  <m:r>
                                    <m:rPr/>
                                    <w:rPr>
                                      <w:rFonts w:ascii="Cambria Math" w:hAnsi="Cambria Math"/>
                                      <w:u w:val="none"/>
                                    </w:rPr>
                                    <m:t>N</m:t>
                                  </m:r>
                                  <m:ctrlPr>
                                    <w:rPr>
                                      <w:rFonts w:ascii="Cambria Math" w:hAnsi="Cambria Math"/>
                                      <w:i/>
                                      <w:iCs/>
                                      <w:u w:val="none"/>
                                    </w:rPr>
                                  </m:ctrlPr>
                                </m:e>
                                <m:sup>
                                  <m:r>
                                    <m:rPr/>
                                    <w:rPr>
                                      <w:rFonts w:hint="eastAsia" w:ascii="Cambria Math" w:hAnsi="Cambria Math"/>
                                      <w:u w:val="none"/>
                                    </w:rPr>
                                    <m:t>'</m:t>
                                  </m:r>
                                  <m:ctrlPr>
                                    <w:rPr>
                                      <w:rFonts w:ascii="Cambria Math" w:hAnsi="Cambria Math"/>
                                      <w:i/>
                                      <w:iCs/>
                                      <w:u w:val="none"/>
                                    </w:rPr>
                                  </m:ctrlPr>
                                </m:sup>
                              </m:sSup>
                              <m:ctrlPr>
                                <w:rPr>
                                  <w:rFonts w:ascii="Cambria Math" w:hAnsi="Cambria Math"/>
                                  <w:i/>
                                  <w:iCs/>
                                  <w:u w:val="none"/>
                                </w:rPr>
                              </m:ctrlPr>
                            </m:den>
                          </m:f>
                          <m:ctrlPr>
                            <w:rPr>
                              <w:rFonts w:ascii="Cambria Math" w:hAnsi="Cambria Math"/>
                              <w:i/>
                              <w:iCs/>
                              <w:u w:val="none"/>
                            </w:rPr>
                          </m:ctrlPr>
                        </m:e>
                      </m:d>
                      <m:r>
                        <m:rPr/>
                        <w:rPr>
                          <w:rFonts w:ascii="Cambria Math" w:hAnsi="Cambria Math"/>
                          <w:u w:val="none"/>
                        </w:rPr>
                        <m:t>∗</m:t>
                      </m:r>
                      <m:d>
                        <m:dPr>
                          <m:begChr m:val="⌈"/>
                          <m:endChr m:val="⌉"/>
                          <m:ctrlPr>
                            <w:rPr>
                              <w:rFonts w:ascii="Cambria Math" w:hAnsi="Cambria Math"/>
                              <w:i/>
                              <w:iCs/>
                              <w:u w:val="none"/>
                            </w:rPr>
                          </m:ctrlPr>
                        </m:dPr>
                        <m:e>
                          <m:f>
                            <m:fPr>
                              <m:ctrlPr>
                                <w:rPr>
                                  <w:rFonts w:ascii="Cambria Math" w:hAnsi="Cambria Math"/>
                                  <w:i/>
                                  <w:iCs/>
                                  <w:u w:val="none"/>
                                </w:rPr>
                              </m:ctrlPr>
                            </m:fPr>
                            <m:num>
                              <m:sSub>
                                <m:sSubPr>
                                  <m:ctrlPr>
                                    <w:rPr>
                                      <w:rFonts w:ascii="Cambria Math" w:hAnsi="Cambria Math"/>
                                      <w:i/>
                                      <w:iCs/>
                                      <w:u w:val="none"/>
                                      <w:lang w:eastAsia="zh-CN"/>
                                    </w:rPr>
                                  </m:ctrlPr>
                                </m:sSubPr>
                                <m:e>
                                  <m:r>
                                    <m:rPr/>
                                    <w:rPr>
                                      <w:rFonts w:ascii="Cambria Math" w:hAnsi="Cambria Math"/>
                                      <w:u w:val="none"/>
                                      <w:lang w:eastAsia="zh-CN"/>
                                    </w:rPr>
                                    <m:t>L</m:t>
                                  </m:r>
                                  <m:ctrlPr>
                                    <w:rPr>
                                      <w:rFonts w:ascii="Cambria Math" w:hAnsi="Cambria Math"/>
                                      <w:i/>
                                      <w:iCs/>
                                      <w:u w:val="none"/>
                                      <w:lang w:eastAsia="zh-CN"/>
                                    </w:rPr>
                                  </m:ctrlPr>
                                </m:e>
                                <m:sub>
                                  <m:r>
                                    <m:rPr/>
                                    <w:rPr>
                                      <w:rFonts w:ascii="Cambria Math" w:hAnsi="Cambria Math"/>
                                      <w:u w:val="none"/>
                                      <w:lang w:eastAsia="zh-CN"/>
                                    </w:rPr>
                                    <m:t>available_PRS</m:t>
                                  </m:r>
                                  <m:r>
                                    <m:rPr/>
                                    <w:rPr>
                                      <w:rFonts w:hint="default" w:ascii="Cambria Math" w:hAnsi="Cambria Math"/>
                                      <w:u w:val="none"/>
                                      <w:lang w:eastAsia="zh-CN"/>
                                    </w:rPr>
                                    <m:t>,i</m:t>
                                  </m:r>
                                  <m:ctrlPr>
                                    <w:rPr>
                                      <w:rFonts w:ascii="Cambria Math" w:hAnsi="Cambria Math"/>
                                      <w:i/>
                                      <w:iCs/>
                                      <w:u w:val="none"/>
                                      <w:lang w:eastAsia="zh-CN"/>
                                    </w:rPr>
                                  </m:ctrlPr>
                                </m:sub>
                              </m:sSub>
                              <m:ctrlPr>
                                <w:rPr>
                                  <w:rFonts w:ascii="Cambria Math" w:hAnsi="Cambria Math"/>
                                  <w:i/>
                                  <w:iCs/>
                                  <w:u w:val="none"/>
                                </w:rPr>
                              </m:ctrlPr>
                            </m:num>
                            <m:den>
                              <m:r>
                                <m:rPr/>
                                <w:rPr>
                                  <w:rFonts w:ascii="Cambria Math" w:hAnsi="Cambria Math"/>
                                  <w:u w:val="none"/>
                                </w:rPr>
                                <m:t>N</m:t>
                              </m:r>
                              <m:ctrlPr>
                                <w:rPr>
                                  <w:rFonts w:ascii="Cambria Math" w:hAnsi="Cambria Math"/>
                                  <w:i/>
                                  <w:iCs/>
                                  <w:u w:val="none"/>
                                </w:rPr>
                              </m:ctrlPr>
                            </m:den>
                          </m:f>
                          <m:ctrlPr>
                            <w:rPr>
                              <w:rFonts w:ascii="Cambria Math" w:hAnsi="Cambria Math"/>
                              <w:i/>
                              <w:iCs/>
                              <w:u w:val="none"/>
                            </w:rPr>
                          </m:ctrlPr>
                        </m:e>
                      </m:d>
                      <m:r>
                        <m:rPr/>
                        <w:rPr>
                          <w:rFonts w:ascii="Cambria Math" w:hAnsi="Cambria Math"/>
                          <w:u w:val="none"/>
                          <w:lang w:eastAsia="zh-CN"/>
                        </w:rPr>
                        <m:t>∗</m:t>
                      </m:r>
                      <m:sSub>
                        <m:sSubPr>
                          <m:ctrlPr>
                            <w:rPr>
                              <w:rFonts w:ascii="Cambria Math" w:hAnsi="Cambria Math"/>
                              <w:i/>
                              <w:iCs/>
                              <w:u w:val="none"/>
                            </w:rPr>
                          </m:ctrlPr>
                        </m:sSubPr>
                        <m:e>
                          <m:r>
                            <m:rPr/>
                            <w:rPr>
                              <w:rFonts w:ascii="Cambria Math" w:hAnsi="Cambria Math"/>
                              <w:u w:val="none"/>
                            </w:rPr>
                            <m:t>N</m:t>
                          </m:r>
                          <m:ctrlPr>
                            <w:rPr>
                              <w:rFonts w:ascii="Cambria Math" w:hAnsi="Cambria Math"/>
                              <w:i/>
                              <w:iCs/>
                              <w:u w:val="none"/>
                            </w:rPr>
                          </m:ctrlPr>
                        </m:e>
                        <m:sub>
                          <m:r>
                            <m:rPr/>
                            <w:rPr>
                              <w:rFonts w:ascii="Cambria Math" w:hAnsi="Cambria Math"/>
                              <w:u w:val="none"/>
                            </w:rPr>
                            <m:t>sample</m:t>
                          </m:r>
                          <m:ctrlPr>
                            <w:rPr>
                              <w:rFonts w:ascii="Cambria Math" w:hAnsi="Cambria Math"/>
                              <w:i/>
                              <w:iCs/>
                              <w:u w:val="none"/>
                            </w:rPr>
                          </m:ctrlPr>
                        </m:sub>
                      </m:sSub>
                      <m:r>
                        <m:rPr/>
                        <w:rPr>
                          <w:rFonts w:ascii="Cambria Math" w:hAnsi="Cambria Math"/>
                          <w:u w:val="none"/>
                        </w:rPr>
                        <m:t>−1</m:t>
                      </m:r>
                      <m:ctrlPr>
                        <w:rPr>
                          <w:rFonts w:ascii="Cambria Math" w:hAnsi="Cambria Math"/>
                          <w:i/>
                          <w:iCs/>
                          <w:u w:val="none"/>
                        </w:rPr>
                      </m:ctrlPr>
                    </m:e>
                  </m:d>
                  <m:r>
                    <m:rPr/>
                    <w:rPr>
                      <w:rFonts w:hint="default" w:ascii="Cambria Math" w:hAnsi="Cambria Math"/>
                      <w:u w:val="none"/>
                      <w:lang w:eastAsia="zh-CN"/>
                    </w:rPr>
                    <m:t>∗T</m:t>
                  </m:r>
                  <m:ctrlPr>
                    <w:rPr>
                      <w:rFonts w:ascii="Cambria Math" w:hAnsi="Cambria Math"/>
                      <w:i/>
                      <w:iCs/>
                      <w:u w:val="none"/>
                    </w:rPr>
                  </m:ctrlPr>
                </m:e>
                <m:sub>
                  <m:r>
                    <m:rPr/>
                    <w:rPr>
                      <w:rFonts w:hint="default" w:ascii="Cambria Math" w:hAnsi="Cambria Math"/>
                      <w:u w:val="none"/>
                      <w:lang w:eastAsia="zh-CN"/>
                    </w:rPr>
                    <m:t>effect,i</m:t>
                  </m:r>
                  <m:ctrlPr>
                    <w:rPr>
                      <w:rFonts w:ascii="Cambria Math" w:hAnsi="Cambria Math"/>
                      <w:i/>
                      <w:iCs/>
                      <w:u w:val="none"/>
                    </w:rPr>
                  </m:ctrlPr>
                </m:sub>
              </m:sSub>
              <m:r>
                <m:rPr/>
                <w:rPr>
                  <w:rFonts w:ascii="Cambria Math" w:hAnsi="Cambria Math"/>
                  <w:u w:val="none"/>
                  <w:lang w:eastAsia="zh-CN"/>
                </w:rPr>
                <m:t>+</m:t>
              </m:r>
              <m:sSub>
                <m:sSubPr>
                  <m:ctrlPr>
                    <w:rPr>
                      <w:rFonts w:ascii="Cambria Math" w:hAnsi="Cambria Math"/>
                      <w:i/>
                      <w:iCs/>
                      <w:u w:val="none"/>
                    </w:rPr>
                  </m:ctrlPr>
                </m:sSubPr>
                <m:e>
                  <m:r>
                    <m:rPr>
                      <m:nor/>
                    </m:rPr>
                    <w:rPr>
                      <w:rFonts w:ascii="Cambria Math" w:hAnsi="Cambria Math"/>
                      <w:b w:val="0"/>
                      <w:i/>
                      <w:iCs/>
                      <w:u w:val="none"/>
                    </w:rPr>
                    <m:t>T</m:t>
                  </m:r>
                  <m:ctrlPr>
                    <w:rPr>
                      <w:rFonts w:ascii="Cambria Math" w:hAnsi="Cambria Math"/>
                      <w:i/>
                      <w:iCs/>
                      <w:u w:val="none"/>
                    </w:rPr>
                  </m:ctrlPr>
                </m:e>
                <m:sub>
                  <m:r>
                    <m:rPr>
                      <m:nor/>
                    </m:rPr>
                    <w:rPr>
                      <w:rFonts w:ascii="Cambria Math" w:hAnsi="Cambria Math"/>
                      <w:b w:val="0"/>
                      <w:i/>
                      <w:iCs/>
                      <w:u w:val="none"/>
                    </w:rPr>
                    <m:t>last</m:t>
                  </m:r>
                  <m:r>
                    <m:rPr/>
                    <w:rPr>
                      <w:rFonts w:hint="default" w:ascii="Cambria Math" w:hAnsi="Cambria Math"/>
                      <w:u w:val="none"/>
                    </w:rPr>
                    <m:t>,i</m:t>
                  </m:r>
                  <m:ctrlPr>
                    <w:rPr>
                      <w:rFonts w:ascii="Cambria Math" w:hAnsi="Cambria Math"/>
                      <w:i/>
                      <w:iCs/>
                      <w:u w:val="none"/>
                    </w:rPr>
                  </m:ctrlPr>
                </m:sub>
              </m:sSub>
            </m:oMath>
            <w:r>
              <w:rPr>
                <w:i/>
                <w:iCs/>
                <w:u w:val="none"/>
              </w:rPr>
              <w:t xml:space="preserve"> ,</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eastAsia"/>
          <w:sz w:val="22"/>
          <w:szCs w:val="22"/>
          <w:lang w:val="en-US" w:eastAsia="zh-CN"/>
        </w:rPr>
        <w:t>The legacy requirements in R17 defined without considering the PRS bandwidth aggregation and measure them across the different PFLs as we mentioned before and we shall consider the in CA scenario measurement period are not measured separately on multiple aggregated PFLs but UE also receive and measure all target PRS resources, so the different PRS periodicities in different PFLs shall be considered since it will influence measurement time. We assume that the periodicity of PRS from different PFLs is the same, it fits the PRS bandwidth aggregation when do the measurement.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sz w:val="22"/>
          <w:szCs w:val="22"/>
          <w:lang w:val="en-US" w:eastAsia="zh-CN"/>
        </w:rPr>
      </w:pPr>
      <w:r>
        <w:rPr>
          <w:rFonts w:hint="eastAsia"/>
          <w:b/>
          <w:bCs/>
          <w:sz w:val="22"/>
          <w:szCs w:val="22"/>
          <w:lang w:val="en-US" w:eastAsia="zh-CN"/>
        </w:rPr>
        <w:t>Proposal 2: The legacy measurement period in R17 can be as baseline when defining the new measurement period for PRS bandwidth aggregation.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b/>
          <w:bCs/>
          <w:sz w:val="22"/>
          <w:szCs w:val="22"/>
          <w:lang w:val="en-US" w:eastAsia="zh-CN"/>
        </w:rPr>
        <w:t>Proposal 3: The PRS periodicities from different PFLs are the same and it is not the strong influence factor when defining the measurement period</w:t>
      </w:r>
      <w:r>
        <w:rPr>
          <w:rFonts w:hint="eastAsia"/>
          <w:sz w:val="22"/>
          <w:szCs w:val="22"/>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On the other hand,  the PRS bandwidth aggregation has more than one PFL but smaller than four PFLs, so we propose to have a reference PFL(r), the measurement period requirement of a referent PFL (r) can be used as the reference of other PFLs’ measurement period requirement in the same group, and we could define a new scaling factor which is larger than 1 and associated with the number of positioning frequency layers which used for bandwidth/carrier aggregation.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sz w:val="22"/>
          <w:szCs w:val="22"/>
          <w:lang w:val="en-US" w:eastAsia="zh-CN"/>
        </w:rPr>
      </w:pPr>
      <w:r>
        <w:rPr>
          <w:rFonts w:hint="eastAsia"/>
          <w:b/>
          <w:bCs/>
          <w:sz w:val="22"/>
          <w:szCs w:val="22"/>
          <w:lang w:val="en-US" w:eastAsia="zh-CN"/>
        </w:rPr>
        <w:t>Proposal 4: The referent PFL(r) can be defined, the measurement period requirement of a referent PFL(r) can be used as the reference of other PFLs</w:t>
      </w:r>
      <w:r>
        <w:rPr>
          <w:rFonts w:hint="default"/>
          <w:b/>
          <w:bCs/>
          <w:sz w:val="22"/>
          <w:szCs w:val="22"/>
          <w:lang w:val="en-US" w:eastAsia="zh-CN"/>
        </w:rPr>
        <w:t>’</w:t>
      </w:r>
      <w:r>
        <w:rPr>
          <w:rFonts w:hint="eastAsia"/>
          <w:b/>
          <w:bCs/>
          <w:sz w:val="22"/>
          <w:szCs w:val="22"/>
          <w:lang w:val="en-US" w:eastAsia="zh-CN"/>
        </w:rPr>
        <w:t xml:space="preserve"> measurement period requirement in the same group.</w:t>
      </w:r>
    </w:p>
    <w:p>
      <w:pPr>
        <w:rPr>
          <w:rFonts w:hint="eastAsia"/>
          <w:lang w:val="en-US" w:eastAsia="zh-CN"/>
        </w:rPr>
      </w:pPr>
    </w:p>
    <w:p>
      <w:pPr>
        <w:rPr>
          <w:rFonts w:hint="eastAsia"/>
          <w:lang w:val="en-US" w:eastAsia="zh-CN"/>
        </w:rPr>
      </w:pPr>
    </w:p>
    <w:p>
      <w:pPr>
        <w:rPr>
          <w:rFonts w:hint="default"/>
          <w:lang w:val="en-US" w:eastAsia="zh-CN"/>
        </w:rPr>
      </w:pP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eastAsia="宋体"/>
          <w:lang w:val="en-US" w:eastAsia="zh-CN"/>
        </w:rPr>
      </w:pP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eastAsia="宋体"/>
          <w:lang w:val="en-US" w:eastAsia="zh-CN"/>
        </w:rPr>
      </w:pP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eastAsia="宋体"/>
          <w:lang w:val="en-US" w:eastAsia="zh-CN"/>
        </w:rPr>
      </w:pP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eastAsia="宋体"/>
          <w:lang w:val="en-US" w:eastAsia="zh-CN"/>
        </w:rPr>
      </w:pP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eastAsia="宋体"/>
          <w:lang w:val="en-US" w:eastAsia="zh-CN"/>
        </w:rPr>
      </w:pPr>
    </w:p>
    <w:p>
      <w:pPr>
        <w:pStyle w:val="74"/>
        <w:rPr>
          <w:lang w:val="en-US"/>
        </w:rPr>
      </w:pPr>
      <w:r>
        <w:rPr>
          <w:lang w:val="en-US"/>
        </w:rPr>
        <w:t>Conclusion</w:t>
      </w:r>
    </w:p>
    <w:p>
      <w:pPr>
        <w:rPr>
          <w:lang w:val="en-GB"/>
        </w:rPr>
      </w:pPr>
      <w:r>
        <w:rPr>
          <w:lang w:val="en-GB"/>
        </w:rPr>
        <w:t xml:space="preserve">The following </w:t>
      </w:r>
      <w:r>
        <w:rPr>
          <w:rFonts w:hint="eastAsia" w:eastAsia="宋体"/>
          <w:lang w:val="en-US" w:eastAsia="zh-CN"/>
        </w:rPr>
        <w:t xml:space="preserve">observations and </w:t>
      </w:r>
      <w:r>
        <w:rPr>
          <w:lang w:val="en-GB"/>
        </w:rPr>
        <w:t>proposals are made.</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b/>
          <w:bCs/>
          <w:sz w:val="22"/>
          <w:szCs w:val="22"/>
          <w:lang w:val="en-US" w:eastAsia="zh-CN"/>
        </w:rPr>
      </w:pPr>
      <w:r>
        <w:rPr>
          <w:rFonts w:hint="eastAsia"/>
          <w:b/>
          <w:bCs/>
          <w:sz w:val="22"/>
          <w:szCs w:val="22"/>
          <w:lang w:val="en-US" w:eastAsia="zh-CN"/>
        </w:rPr>
        <w:t>Observation 1: RAN1 had several agreements for enabling PRS bandwidth aggregation between PRS in two or three different PFLs, and in the latest two meetings the conditions which should be satisfied for the aggregated PRS resources from a TRP across the aggregated PFLs were proposed.</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b/>
          <w:bCs/>
          <w:sz w:val="22"/>
          <w:szCs w:val="22"/>
          <w:lang w:val="en-US" w:eastAsia="zh-CN"/>
        </w:rPr>
      </w:pPr>
      <w:r>
        <w:rPr>
          <w:rFonts w:hint="eastAsia"/>
          <w:b/>
          <w:bCs/>
          <w:sz w:val="22"/>
          <w:szCs w:val="22"/>
          <w:lang w:val="en-US" w:eastAsia="zh-CN"/>
        </w:rPr>
        <w:t>Proposal 1: RAN4 shall study the core requirements based on the current RAN1 progress as below:</w:t>
      </w:r>
    </w:p>
    <w:p>
      <w:pPr>
        <w:numPr>
          <w:ilvl w:val="0"/>
          <w:numId w:val="7"/>
        </w:numPr>
        <w:ind w:left="420" w:leftChars="0" w:hanging="420" w:firstLineChars="0"/>
        <w:rPr>
          <w:b/>
          <w:bCs/>
          <w:sz w:val="22"/>
          <w:szCs w:val="22"/>
        </w:rPr>
      </w:pPr>
      <w:r>
        <w:rPr>
          <w:rFonts w:eastAsia="宋体"/>
          <w:b/>
          <w:bCs/>
          <w:sz w:val="22"/>
          <w:szCs w:val="22"/>
        </w:rPr>
        <w:t>In the same slot, in same symbols, by the same TRP associated with the same ARP, from the same RF chain (i.e. the same antenna)</w:t>
      </w:r>
    </w:p>
    <w:p>
      <w:pPr>
        <w:numPr>
          <w:ilvl w:val="0"/>
          <w:numId w:val="7"/>
        </w:numPr>
        <w:ind w:left="420" w:leftChars="0" w:hanging="420" w:firstLineChars="0"/>
        <w:rPr>
          <w:b/>
          <w:bCs/>
          <w:sz w:val="22"/>
          <w:szCs w:val="22"/>
        </w:rPr>
      </w:pPr>
      <w:r>
        <w:rPr>
          <w:b/>
          <w:bCs/>
          <w:sz w:val="22"/>
          <w:szCs w:val="22"/>
        </w:rPr>
        <w:t xml:space="preserve">The same number of symbols, symbol location within one slot, </w:t>
      </w:r>
      <w:r>
        <w:rPr>
          <w:rFonts w:eastAsia="宋体"/>
          <w:b/>
          <w:bCs/>
          <w:sz w:val="22"/>
          <w:szCs w:val="22"/>
        </w:rPr>
        <w:t>repetition factor,</w:t>
      </w:r>
    </w:p>
    <w:p>
      <w:pPr>
        <w:numPr>
          <w:ilvl w:val="0"/>
          <w:numId w:val="7"/>
        </w:numPr>
        <w:ind w:left="420" w:leftChars="0" w:hanging="420" w:firstLineChars="0"/>
        <w:rPr>
          <w:b/>
          <w:bCs/>
          <w:sz w:val="22"/>
          <w:szCs w:val="22"/>
        </w:rPr>
      </w:pPr>
      <w:r>
        <w:rPr>
          <w:b/>
          <w:bCs/>
          <w:sz w:val="22"/>
          <w:szCs w:val="22"/>
        </w:rPr>
        <w:t>The same numerology, i.e. the same CP and SCS</w:t>
      </w:r>
    </w:p>
    <w:p>
      <w:pPr>
        <w:numPr>
          <w:ilvl w:val="0"/>
          <w:numId w:val="7"/>
        </w:numPr>
        <w:ind w:left="420" w:leftChars="0" w:hanging="420" w:firstLineChars="0"/>
        <w:rPr>
          <w:b/>
          <w:bCs/>
          <w:sz w:val="22"/>
          <w:szCs w:val="22"/>
        </w:rPr>
      </w:pPr>
      <w:r>
        <w:rPr>
          <w:b/>
          <w:bCs/>
          <w:sz w:val="22"/>
          <w:szCs w:val="22"/>
        </w:rPr>
        <w:t>The same or different bandwidths</w:t>
      </w:r>
    </w:p>
    <w:p>
      <w:pPr>
        <w:numPr>
          <w:ilvl w:val="0"/>
          <w:numId w:val="7"/>
        </w:numPr>
        <w:ind w:left="420" w:leftChars="0" w:hanging="420" w:firstLineChars="0"/>
        <w:rPr>
          <w:b/>
          <w:bCs/>
          <w:sz w:val="22"/>
          <w:szCs w:val="22"/>
        </w:rPr>
      </w:pPr>
      <w:r>
        <w:rPr>
          <w:b/>
          <w:bCs/>
          <w:sz w:val="22"/>
          <w:szCs w:val="22"/>
        </w:rPr>
        <w:t>The same comb size</w:t>
      </w:r>
    </w:p>
    <w:p>
      <w:pPr>
        <w:numPr>
          <w:ilvl w:val="0"/>
          <w:numId w:val="7"/>
        </w:numPr>
        <w:ind w:left="420" w:leftChars="0" w:hanging="420" w:firstLineChars="0"/>
        <w:rPr>
          <w:b/>
          <w:bCs/>
          <w:sz w:val="22"/>
          <w:szCs w:val="22"/>
        </w:rPr>
      </w:pPr>
      <w:r>
        <w:rPr>
          <w:b/>
          <w:bCs/>
          <w:sz w:val="22"/>
          <w:szCs w:val="22"/>
        </w:rPr>
        <w:t>The same power per subcarrier</w:t>
      </w:r>
    </w:p>
    <w:p>
      <w:pPr>
        <w:numPr>
          <w:ilvl w:val="0"/>
          <w:numId w:val="7"/>
        </w:numPr>
        <w:ind w:left="420" w:leftChars="0" w:hanging="420" w:firstLineChars="0"/>
        <w:rPr>
          <w:b/>
          <w:bCs/>
          <w:sz w:val="22"/>
          <w:szCs w:val="22"/>
        </w:rPr>
      </w:pPr>
      <w:r>
        <w:rPr>
          <w:b/>
          <w:bCs/>
          <w:sz w:val="22"/>
          <w:szCs w:val="22"/>
        </w:rPr>
        <w:t>Aggregated PFLs are configured on the same aligned numerology grid</w:t>
      </w:r>
    </w:p>
    <w:p>
      <w:pPr>
        <w:numPr>
          <w:ilvl w:val="0"/>
          <w:numId w:val="7"/>
        </w:numPr>
        <w:ind w:left="420" w:leftChars="0" w:hanging="420" w:firstLineChars="0"/>
        <w:rPr>
          <w:b/>
          <w:bCs/>
          <w:sz w:val="22"/>
          <w:szCs w:val="22"/>
        </w:rPr>
      </w:pPr>
      <w:r>
        <w:rPr>
          <w:b/>
          <w:bCs/>
          <w:sz w:val="22"/>
          <w:szCs w:val="22"/>
        </w:rPr>
        <w:t xml:space="preserve">Phase continuity between aggregated PFLs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sz w:val="22"/>
          <w:szCs w:val="22"/>
          <w:lang w:val="en-US" w:eastAsia="zh-CN"/>
        </w:rPr>
      </w:pPr>
      <w:r>
        <w:rPr>
          <w:rFonts w:hint="eastAsia"/>
          <w:b/>
          <w:bCs/>
          <w:sz w:val="22"/>
          <w:szCs w:val="22"/>
          <w:lang w:val="en-US" w:eastAsia="zh-CN"/>
        </w:rPr>
        <w:t>Proposal 2: The legacy measurement period in R17 can be as baseline when defining the new measurement period for PRS bandwidth aggregation.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b/>
          <w:bCs/>
          <w:sz w:val="22"/>
          <w:szCs w:val="22"/>
          <w:lang w:val="en-US" w:eastAsia="zh-CN"/>
        </w:rPr>
        <w:t>Proposal 3: The PRS periodicities from different PFLs are the same and it is not the strong influence factor when defining the measurement period</w:t>
      </w:r>
      <w:r>
        <w:rPr>
          <w:rFonts w:hint="eastAsia"/>
          <w:sz w:val="22"/>
          <w:szCs w:val="22"/>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sz w:val="22"/>
          <w:szCs w:val="22"/>
          <w:lang w:val="en-US" w:eastAsia="zh-CN"/>
        </w:rPr>
      </w:pPr>
      <w:r>
        <w:rPr>
          <w:rFonts w:hint="eastAsia"/>
          <w:b/>
          <w:bCs/>
          <w:sz w:val="22"/>
          <w:szCs w:val="22"/>
          <w:lang w:val="en-US" w:eastAsia="zh-CN"/>
        </w:rPr>
        <w:t>Proposal 4: The referent PFL(r) can be defined, the measurement period requirement of a referent PFL(r) can be used as the reference of other PFLs</w:t>
      </w:r>
      <w:r>
        <w:rPr>
          <w:rFonts w:hint="default"/>
          <w:b/>
          <w:bCs/>
          <w:sz w:val="22"/>
          <w:szCs w:val="22"/>
          <w:lang w:val="en-US" w:eastAsia="zh-CN"/>
        </w:rPr>
        <w:t>’</w:t>
      </w:r>
      <w:r>
        <w:rPr>
          <w:rFonts w:hint="eastAsia"/>
          <w:b/>
          <w:bCs/>
          <w:sz w:val="22"/>
          <w:szCs w:val="22"/>
          <w:lang w:val="en-US" w:eastAsia="zh-CN"/>
        </w:rPr>
        <w:t xml:space="preserve"> measurement period requirement in the same group.</w:t>
      </w:r>
    </w:p>
    <w:p>
      <w:pPr>
        <w:pStyle w:val="74"/>
        <w:numPr>
          <w:ilvl w:val="0"/>
          <w:numId w:val="0"/>
        </w:numPr>
        <w:ind w:left="360" w:hanging="360"/>
        <w:rPr>
          <w:lang w:val="en-US"/>
        </w:rPr>
      </w:pPr>
      <w:r>
        <w:rPr>
          <w:lang w:val="en-US"/>
        </w:rPr>
        <w:t>References</w:t>
      </w:r>
    </w:p>
    <w:p>
      <w:pPr>
        <w:pStyle w:val="70"/>
        <w:numPr>
          <w:ilvl w:val="0"/>
          <w:numId w:val="8"/>
        </w:numPr>
        <w:ind w:right="-22"/>
      </w:pPr>
      <w:bookmarkStart w:id="0" w:name="_Ref114500673"/>
      <w:bookmarkEnd w:id="0"/>
      <w:r>
        <w:t>RP-2</w:t>
      </w:r>
      <w:r>
        <w:rPr>
          <w:rFonts w:hint="eastAsia" w:eastAsia="宋体"/>
          <w:lang w:val="en-US" w:eastAsia="zh-CN"/>
        </w:rPr>
        <w:t>30328</w:t>
      </w:r>
      <w:r>
        <w:t>, “Study on expanded and improved NR positioning”, Intel Corporation</w:t>
      </w:r>
    </w:p>
    <w:p>
      <w:pPr>
        <w:pStyle w:val="70"/>
        <w:numPr>
          <w:ilvl w:val="0"/>
          <w:numId w:val="8"/>
        </w:numPr>
        <w:ind w:right="-22"/>
      </w:pPr>
      <w:r>
        <w:t>R4-2</w:t>
      </w:r>
      <w:r>
        <w:rPr>
          <w:rFonts w:hint="eastAsia" w:eastAsia="宋体"/>
          <w:lang w:val="en-US" w:eastAsia="zh-CN"/>
        </w:rPr>
        <w:t>306349</w:t>
      </w:r>
      <w:r>
        <w:t xml:space="preserve">, “WF on expanded and improved NR positioning study”, </w:t>
      </w:r>
      <w:r>
        <w:rPr>
          <w:rFonts w:hint="eastAsia" w:eastAsia="宋体"/>
          <w:lang w:val="en-US" w:eastAsia="zh-CN"/>
        </w:rPr>
        <w:t>Ericsson</w:t>
      </w:r>
    </w:p>
    <w:p>
      <w:pPr>
        <w:pStyle w:val="70"/>
        <w:numPr>
          <w:ilvl w:val="0"/>
          <w:numId w:val="8"/>
        </w:numPr>
        <w:ind w:right="-22"/>
      </w:pPr>
      <w:r>
        <w:t>3GPP TR 38.859 V0.1.0, “Study on Expanded and Improved NR Positioning (Release 18)”</w:t>
      </w:r>
    </w:p>
    <w:p>
      <w:pPr>
        <w:pStyle w:val="70"/>
        <w:numPr>
          <w:ilvl w:val="0"/>
          <w:numId w:val="8"/>
        </w:numPr>
        <w:ind w:right="-22"/>
      </w:pPr>
      <w:r>
        <w:rPr>
          <w:rFonts w:hint="eastAsia" w:eastAsia="宋体"/>
          <w:lang w:val="en-US" w:eastAsia="zh-CN"/>
        </w:rPr>
        <w:t xml:space="preserve">R4-2216541, </w:t>
      </w:r>
      <w:r>
        <w:rPr>
          <w:rFonts w:hint="default" w:eastAsia="宋体"/>
          <w:lang w:val="en-US" w:eastAsia="zh-CN"/>
        </w:rPr>
        <w:t>“Further discussion on CA based positioning enhancement ”</w:t>
      </w:r>
      <w:r>
        <w:rPr>
          <w:rFonts w:hint="eastAsia" w:eastAsia="宋体"/>
          <w:lang w:val="en-US" w:eastAsia="zh-CN"/>
        </w:rPr>
        <w:t>, ZTE Corporation.</w:t>
      </w: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3"/>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F502F2"/>
    <w:multiLevelType w:val="singleLevel"/>
    <w:tmpl w:val="DAF502F2"/>
    <w:lvl w:ilvl="0" w:tentative="0">
      <w:start w:val="1"/>
      <w:numFmt w:val="bullet"/>
      <w:lvlText w:val=""/>
      <w:lvlJc w:val="left"/>
      <w:pPr>
        <w:ind w:left="420" w:hanging="420"/>
      </w:pPr>
      <w:rPr>
        <w:rFonts w:hint="default" w:ascii="Wingdings" w:hAnsi="Wingdings"/>
      </w:rPr>
    </w:lvl>
  </w:abstractNum>
  <w:abstractNum w:abstractNumId="1">
    <w:nsid w:val="4D6E3167"/>
    <w:multiLevelType w:val="multilevel"/>
    <w:tmpl w:val="4D6E3167"/>
    <w:lvl w:ilvl="0" w:tentative="0">
      <w:start w:val="1"/>
      <w:numFmt w:val="decimal"/>
      <w:pStyle w:val="77"/>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2">
    <w:nsid w:val="51E90F97"/>
    <w:multiLevelType w:val="multilevel"/>
    <w:tmpl w:val="51E90F97"/>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5A221516"/>
    <w:multiLevelType w:val="multilevel"/>
    <w:tmpl w:val="5A22151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2A47811"/>
    <w:multiLevelType w:val="multilevel"/>
    <w:tmpl w:val="62A478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65C217B"/>
    <w:multiLevelType w:val="multilevel"/>
    <w:tmpl w:val="665C217B"/>
    <w:lvl w:ilvl="0" w:tentative="0">
      <w:start w:val="1"/>
      <w:numFmt w:val="decimal"/>
      <w:pStyle w:val="74"/>
      <w:lvlText w:val="%1"/>
      <w:lvlJc w:val="left"/>
      <w:pPr>
        <w:ind w:left="360" w:hanging="360"/>
      </w:pPr>
      <w:rPr>
        <w:rFonts w:hint="default"/>
      </w:rPr>
    </w:lvl>
    <w:lvl w:ilvl="1" w:tentative="0">
      <w:start w:val="1"/>
      <w:numFmt w:val="decimal"/>
      <w:pStyle w:val="76"/>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1"/>
  </w:num>
  <w:num w:numId="3">
    <w:abstractNumId w:val="7"/>
  </w:num>
  <w:num w:numId="4">
    <w:abstractNumId w:val="6"/>
  </w:num>
  <w:num w:numId="5">
    <w:abstractNumId w:val="2"/>
  </w:num>
  <w:num w:numId="6">
    <w:abstractNumId w:val="4"/>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79B6"/>
    <w:rsid w:val="002840A1"/>
    <w:rsid w:val="002B6339"/>
    <w:rsid w:val="002E00EE"/>
    <w:rsid w:val="002F75B1"/>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B600E"/>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C6BC6"/>
    <w:rsid w:val="00AE65E2"/>
    <w:rsid w:val="00B15449"/>
    <w:rsid w:val="00B66DD7"/>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D12A57"/>
    <w:rsid w:val="00D544DE"/>
    <w:rsid w:val="00D57972"/>
    <w:rsid w:val="00D6299F"/>
    <w:rsid w:val="00D675A9"/>
    <w:rsid w:val="00D738D6"/>
    <w:rsid w:val="00D74883"/>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66C59"/>
    <w:rsid w:val="00F76708"/>
    <w:rsid w:val="00F7733E"/>
    <w:rsid w:val="00F80895"/>
    <w:rsid w:val="00F9008D"/>
    <w:rsid w:val="00FA1266"/>
    <w:rsid w:val="00FC1192"/>
    <w:rsid w:val="01457ED6"/>
    <w:rsid w:val="01555FC5"/>
    <w:rsid w:val="01580E70"/>
    <w:rsid w:val="015857D3"/>
    <w:rsid w:val="01907C39"/>
    <w:rsid w:val="01BC5539"/>
    <w:rsid w:val="027313F4"/>
    <w:rsid w:val="02AD5C00"/>
    <w:rsid w:val="02B51BBB"/>
    <w:rsid w:val="02D447D2"/>
    <w:rsid w:val="02F606FB"/>
    <w:rsid w:val="03384693"/>
    <w:rsid w:val="037E0647"/>
    <w:rsid w:val="0398423F"/>
    <w:rsid w:val="03AD71D3"/>
    <w:rsid w:val="040E2D4A"/>
    <w:rsid w:val="041C4308"/>
    <w:rsid w:val="044012A9"/>
    <w:rsid w:val="046301A2"/>
    <w:rsid w:val="04BA6C01"/>
    <w:rsid w:val="04E13F4A"/>
    <w:rsid w:val="05067815"/>
    <w:rsid w:val="054929AB"/>
    <w:rsid w:val="05945A70"/>
    <w:rsid w:val="059F2151"/>
    <w:rsid w:val="05DB67C3"/>
    <w:rsid w:val="05FE0EF5"/>
    <w:rsid w:val="069C1BFD"/>
    <w:rsid w:val="06A745C7"/>
    <w:rsid w:val="06C73BF6"/>
    <w:rsid w:val="06E966B3"/>
    <w:rsid w:val="07150A56"/>
    <w:rsid w:val="074C5E55"/>
    <w:rsid w:val="075560E1"/>
    <w:rsid w:val="076170B1"/>
    <w:rsid w:val="0771776A"/>
    <w:rsid w:val="0788005C"/>
    <w:rsid w:val="079F65E1"/>
    <w:rsid w:val="07EC1E65"/>
    <w:rsid w:val="07F66AC5"/>
    <w:rsid w:val="080843A7"/>
    <w:rsid w:val="081420BA"/>
    <w:rsid w:val="081732C0"/>
    <w:rsid w:val="08230CD1"/>
    <w:rsid w:val="083F59D2"/>
    <w:rsid w:val="084C657D"/>
    <w:rsid w:val="086461A7"/>
    <w:rsid w:val="08D850A7"/>
    <w:rsid w:val="08F22836"/>
    <w:rsid w:val="09005754"/>
    <w:rsid w:val="09606948"/>
    <w:rsid w:val="096E0D4F"/>
    <w:rsid w:val="09851B6E"/>
    <w:rsid w:val="098C6AAD"/>
    <w:rsid w:val="099A2A98"/>
    <w:rsid w:val="09A722C6"/>
    <w:rsid w:val="09D57D44"/>
    <w:rsid w:val="09EA1DC6"/>
    <w:rsid w:val="0A2D71D6"/>
    <w:rsid w:val="0A3664F1"/>
    <w:rsid w:val="0A521B30"/>
    <w:rsid w:val="0A5B305B"/>
    <w:rsid w:val="0A6C3BCC"/>
    <w:rsid w:val="0ABC02E8"/>
    <w:rsid w:val="0AD15EE4"/>
    <w:rsid w:val="0B1B3502"/>
    <w:rsid w:val="0B3F6621"/>
    <w:rsid w:val="0B4D684B"/>
    <w:rsid w:val="0B6A4840"/>
    <w:rsid w:val="0B707256"/>
    <w:rsid w:val="0B863CAE"/>
    <w:rsid w:val="0BAB09BD"/>
    <w:rsid w:val="0BFD1F48"/>
    <w:rsid w:val="0C0D74EA"/>
    <w:rsid w:val="0C120ED6"/>
    <w:rsid w:val="0CC050E4"/>
    <w:rsid w:val="0CE67779"/>
    <w:rsid w:val="0CF64B6C"/>
    <w:rsid w:val="0CFC76A9"/>
    <w:rsid w:val="0D377674"/>
    <w:rsid w:val="0D8972A3"/>
    <w:rsid w:val="0DAC1BB6"/>
    <w:rsid w:val="0E1E4B1A"/>
    <w:rsid w:val="0E2D081B"/>
    <w:rsid w:val="0E304771"/>
    <w:rsid w:val="0E777792"/>
    <w:rsid w:val="0E830A04"/>
    <w:rsid w:val="0ED6239A"/>
    <w:rsid w:val="0EE1225A"/>
    <w:rsid w:val="0F025E2E"/>
    <w:rsid w:val="0F19776F"/>
    <w:rsid w:val="0F503AEA"/>
    <w:rsid w:val="0F511411"/>
    <w:rsid w:val="0FAF5D2E"/>
    <w:rsid w:val="0FB63F96"/>
    <w:rsid w:val="0FDB4972"/>
    <w:rsid w:val="0FDE4688"/>
    <w:rsid w:val="0FF0503B"/>
    <w:rsid w:val="10347810"/>
    <w:rsid w:val="103D3F2B"/>
    <w:rsid w:val="10BB3068"/>
    <w:rsid w:val="10C531CC"/>
    <w:rsid w:val="11846297"/>
    <w:rsid w:val="11947EDC"/>
    <w:rsid w:val="11C02A89"/>
    <w:rsid w:val="11EE75FC"/>
    <w:rsid w:val="128B68B0"/>
    <w:rsid w:val="12C003F7"/>
    <w:rsid w:val="12D01E4D"/>
    <w:rsid w:val="12D04199"/>
    <w:rsid w:val="12E10C90"/>
    <w:rsid w:val="13341216"/>
    <w:rsid w:val="139B3D83"/>
    <w:rsid w:val="13A16E2D"/>
    <w:rsid w:val="13AE0DDA"/>
    <w:rsid w:val="13C23A1B"/>
    <w:rsid w:val="14137223"/>
    <w:rsid w:val="142A2204"/>
    <w:rsid w:val="145B66A3"/>
    <w:rsid w:val="14785DC8"/>
    <w:rsid w:val="14A63B80"/>
    <w:rsid w:val="14AA405D"/>
    <w:rsid w:val="14EE16A4"/>
    <w:rsid w:val="150B02A5"/>
    <w:rsid w:val="155326B6"/>
    <w:rsid w:val="157108D1"/>
    <w:rsid w:val="15780852"/>
    <w:rsid w:val="157C2EEB"/>
    <w:rsid w:val="15917289"/>
    <w:rsid w:val="15950B53"/>
    <w:rsid w:val="1646133C"/>
    <w:rsid w:val="169A4ADB"/>
    <w:rsid w:val="16CD4CA5"/>
    <w:rsid w:val="16E84E9D"/>
    <w:rsid w:val="16F43737"/>
    <w:rsid w:val="170716B6"/>
    <w:rsid w:val="17104EF2"/>
    <w:rsid w:val="173D628D"/>
    <w:rsid w:val="1743780F"/>
    <w:rsid w:val="175017ED"/>
    <w:rsid w:val="175C4A8E"/>
    <w:rsid w:val="176F3F08"/>
    <w:rsid w:val="17CD588E"/>
    <w:rsid w:val="17D01F3A"/>
    <w:rsid w:val="17EF1163"/>
    <w:rsid w:val="17FF14ED"/>
    <w:rsid w:val="1811483D"/>
    <w:rsid w:val="18244E65"/>
    <w:rsid w:val="184632DE"/>
    <w:rsid w:val="184A62E0"/>
    <w:rsid w:val="185A42FA"/>
    <w:rsid w:val="1874058F"/>
    <w:rsid w:val="18A8677B"/>
    <w:rsid w:val="18E96032"/>
    <w:rsid w:val="18EE62E8"/>
    <w:rsid w:val="1950368A"/>
    <w:rsid w:val="19551A74"/>
    <w:rsid w:val="195A1855"/>
    <w:rsid w:val="195C2D9C"/>
    <w:rsid w:val="19643B11"/>
    <w:rsid w:val="197C2433"/>
    <w:rsid w:val="19867C86"/>
    <w:rsid w:val="19B64E0D"/>
    <w:rsid w:val="19D756DD"/>
    <w:rsid w:val="1A0158A0"/>
    <w:rsid w:val="1A2553BA"/>
    <w:rsid w:val="1A367AD8"/>
    <w:rsid w:val="1A547F80"/>
    <w:rsid w:val="1A5A6EC2"/>
    <w:rsid w:val="1A6C30C8"/>
    <w:rsid w:val="1AC56317"/>
    <w:rsid w:val="1AD97202"/>
    <w:rsid w:val="1ADA7A22"/>
    <w:rsid w:val="1AED3950"/>
    <w:rsid w:val="1B0A73AC"/>
    <w:rsid w:val="1B1104FB"/>
    <w:rsid w:val="1B481120"/>
    <w:rsid w:val="1B4E67D5"/>
    <w:rsid w:val="1B777BC9"/>
    <w:rsid w:val="1B953EDB"/>
    <w:rsid w:val="1B990279"/>
    <w:rsid w:val="1B9B4E1C"/>
    <w:rsid w:val="1B9C50E9"/>
    <w:rsid w:val="1BA81597"/>
    <w:rsid w:val="1BAD4429"/>
    <w:rsid w:val="1BB80557"/>
    <w:rsid w:val="1C0C6E69"/>
    <w:rsid w:val="1C0D3F01"/>
    <w:rsid w:val="1C2C3033"/>
    <w:rsid w:val="1C733635"/>
    <w:rsid w:val="1CDA0DB5"/>
    <w:rsid w:val="1D1D542F"/>
    <w:rsid w:val="1D3064BB"/>
    <w:rsid w:val="1D786282"/>
    <w:rsid w:val="1DB553DF"/>
    <w:rsid w:val="1DE30818"/>
    <w:rsid w:val="1E194EC7"/>
    <w:rsid w:val="1E3F4F33"/>
    <w:rsid w:val="1EAD4127"/>
    <w:rsid w:val="1EB77760"/>
    <w:rsid w:val="1EB8797A"/>
    <w:rsid w:val="1ED004D7"/>
    <w:rsid w:val="1EEF3FAB"/>
    <w:rsid w:val="1F25251D"/>
    <w:rsid w:val="1F2F4901"/>
    <w:rsid w:val="1F305956"/>
    <w:rsid w:val="1F3869FB"/>
    <w:rsid w:val="1F3F1CC1"/>
    <w:rsid w:val="1F430FAA"/>
    <w:rsid w:val="1F655CF0"/>
    <w:rsid w:val="1F7B03C5"/>
    <w:rsid w:val="1F7E201D"/>
    <w:rsid w:val="1F9B774C"/>
    <w:rsid w:val="1FBB5482"/>
    <w:rsid w:val="1FF9177B"/>
    <w:rsid w:val="1FFD1F53"/>
    <w:rsid w:val="200D64BE"/>
    <w:rsid w:val="202946BE"/>
    <w:rsid w:val="202D06F1"/>
    <w:rsid w:val="203A7FDB"/>
    <w:rsid w:val="20584BED"/>
    <w:rsid w:val="20995AB3"/>
    <w:rsid w:val="20BB5B68"/>
    <w:rsid w:val="210D6CE7"/>
    <w:rsid w:val="21361FB5"/>
    <w:rsid w:val="21412720"/>
    <w:rsid w:val="214B3D89"/>
    <w:rsid w:val="21575426"/>
    <w:rsid w:val="2177769E"/>
    <w:rsid w:val="21820417"/>
    <w:rsid w:val="219C3A39"/>
    <w:rsid w:val="219F37C5"/>
    <w:rsid w:val="221C2B01"/>
    <w:rsid w:val="22CA5C07"/>
    <w:rsid w:val="230D3451"/>
    <w:rsid w:val="23165742"/>
    <w:rsid w:val="235141D1"/>
    <w:rsid w:val="236364F7"/>
    <w:rsid w:val="238C0530"/>
    <w:rsid w:val="23CE12F9"/>
    <w:rsid w:val="23EB4621"/>
    <w:rsid w:val="24034BF3"/>
    <w:rsid w:val="244B441E"/>
    <w:rsid w:val="24582668"/>
    <w:rsid w:val="247A3E32"/>
    <w:rsid w:val="247C113F"/>
    <w:rsid w:val="24971D9F"/>
    <w:rsid w:val="24E505FF"/>
    <w:rsid w:val="250C43B4"/>
    <w:rsid w:val="25425A19"/>
    <w:rsid w:val="258C11BB"/>
    <w:rsid w:val="25AB3D1C"/>
    <w:rsid w:val="25FA44CF"/>
    <w:rsid w:val="26014A29"/>
    <w:rsid w:val="26274BB6"/>
    <w:rsid w:val="262F0D25"/>
    <w:rsid w:val="26381768"/>
    <w:rsid w:val="26AA20D3"/>
    <w:rsid w:val="26B27284"/>
    <w:rsid w:val="26F81EB4"/>
    <w:rsid w:val="271834C3"/>
    <w:rsid w:val="271F0AE2"/>
    <w:rsid w:val="27310B9A"/>
    <w:rsid w:val="273E1C11"/>
    <w:rsid w:val="27446B14"/>
    <w:rsid w:val="27D65541"/>
    <w:rsid w:val="27EC5FCE"/>
    <w:rsid w:val="28024EE0"/>
    <w:rsid w:val="28417461"/>
    <w:rsid w:val="284A4107"/>
    <w:rsid w:val="28671C46"/>
    <w:rsid w:val="2869013D"/>
    <w:rsid w:val="28825243"/>
    <w:rsid w:val="288D20D6"/>
    <w:rsid w:val="28E70B5D"/>
    <w:rsid w:val="28EF7C18"/>
    <w:rsid w:val="28F045AC"/>
    <w:rsid w:val="29111799"/>
    <w:rsid w:val="293F7597"/>
    <w:rsid w:val="2943069F"/>
    <w:rsid w:val="29572CC9"/>
    <w:rsid w:val="297E0E5E"/>
    <w:rsid w:val="29876AEF"/>
    <w:rsid w:val="299715A4"/>
    <w:rsid w:val="29D60A95"/>
    <w:rsid w:val="29D968F2"/>
    <w:rsid w:val="2A240B36"/>
    <w:rsid w:val="2A2D73EC"/>
    <w:rsid w:val="2A9D3339"/>
    <w:rsid w:val="2AA369DD"/>
    <w:rsid w:val="2ACD3A4B"/>
    <w:rsid w:val="2BB734AB"/>
    <w:rsid w:val="2BD376AF"/>
    <w:rsid w:val="2C1B7D41"/>
    <w:rsid w:val="2C2466CA"/>
    <w:rsid w:val="2C7E0327"/>
    <w:rsid w:val="2CC81FA6"/>
    <w:rsid w:val="2CCE6BC5"/>
    <w:rsid w:val="2CF06E1D"/>
    <w:rsid w:val="2D157C39"/>
    <w:rsid w:val="2D860097"/>
    <w:rsid w:val="2D994F13"/>
    <w:rsid w:val="2D9A1978"/>
    <w:rsid w:val="2DCC158E"/>
    <w:rsid w:val="2E106E4C"/>
    <w:rsid w:val="2E3A3425"/>
    <w:rsid w:val="2E5E508C"/>
    <w:rsid w:val="2E7F52E5"/>
    <w:rsid w:val="2E9F621B"/>
    <w:rsid w:val="2EA57014"/>
    <w:rsid w:val="2EC16714"/>
    <w:rsid w:val="2EFA1C73"/>
    <w:rsid w:val="2F2B12A9"/>
    <w:rsid w:val="2F3F5B09"/>
    <w:rsid w:val="2F680744"/>
    <w:rsid w:val="2F6E6454"/>
    <w:rsid w:val="2F8124F8"/>
    <w:rsid w:val="2FAB72D0"/>
    <w:rsid w:val="2FB8303D"/>
    <w:rsid w:val="2FC73BC7"/>
    <w:rsid w:val="2FDB254D"/>
    <w:rsid w:val="2FE5590A"/>
    <w:rsid w:val="30160ACC"/>
    <w:rsid w:val="307045FF"/>
    <w:rsid w:val="30792CCF"/>
    <w:rsid w:val="30944718"/>
    <w:rsid w:val="317812C7"/>
    <w:rsid w:val="319949BC"/>
    <w:rsid w:val="31B9498A"/>
    <w:rsid w:val="31E62269"/>
    <w:rsid w:val="31FF389A"/>
    <w:rsid w:val="320C562E"/>
    <w:rsid w:val="3218181F"/>
    <w:rsid w:val="32224F6F"/>
    <w:rsid w:val="325C49CB"/>
    <w:rsid w:val="3272661A"/>
    <w:rsid w:val="327A1E1C"/>
    <w:rsid w:val="32AC322C"/>
    <w:rsid w:val="32EB00B2"/>
    <w:rsid w:val="32EF4370"/>
    <w:rsid w:val="33106E3B"/>
    <w:rsid w:val="33246706"/>
    <w:rsid w:val="336504AA"/>
    <w:rsid w:val="338D6495"/>
    <w:rsid w:val="33A0623B"/>
    <w:rsid w:val="33D846D5"/>
    <w:rsid w:val="33F40509"/>
    <w:rsid w:val="341F63FB"/>
    <w:rsid w:val="342A5256"/>
    <w:rsid w:val="344762FD"/>
    <w:rsid w:val="344B35F8"/>
    <w:rsid w:val="349857D1"/>
    <w:rsid w:val="34B464B0"/>
    <w:rsid w:val="34BF6361"/>
    <w:rsid w:val="34E212A0"/>
    <w:rsid w:val="34E84524"/>
    <w:rsid w:val="34EF13EE"/>
    <w:rsid w:val="350160CA"/>
    <w:rsid w:val="350D3EAF"/>
    <w:rsid w:val="35175003"/>
    <w:rsid w:val="351777B5"/>
    <w:rsid w:val="35290A77"/>
    <w:rsid w:val="353C3994"/>
    <w:rsid w:val="35575A6C"/>
    <w:rsid w:val="356A601B"/>
    <w:rsid w:val="35D57307"/>
    <w:rsid w:val="36225127"/>
    <w:rsid w:val="36237E20"/>
    <w:rsid w:val="3650593D"/>
    <w:rsid w:val="36995A1D"/>
    <w:rsid w:val="36EB5C59"/>
    <w:rsid w:val="370547F4"/>
    <w:rsid w:val="37184E5E"/>
    <w:rsid w:val="373B4DAF"/>
    <w:rsid w:val="376C5D00"/>
    <w:rsid w:val="377F4E51"/>
    <w:rsid w:val="38021B03"/>
    <w:rsid w:val="382523BD"/>
    <w:rsid w:val="38BF28AA"/>
    <w:rsid w:val="38D33EE0"/>
    <w:rsid w:val="394300B5"/>
    <w:rsid w:val="39C9557A"/>
    <w:rsid w:val="39D3500A"/>
    <w:rsid w:val="39E55169"/>
    <w:rsid w:val="39F10BBA"/>
    <w:rsid w:val="3A02103F"/>
    <w:rsid w:val="3A907561"/>
    <w:rsid w:val="3AA02CE4"/>
    <w:rsid w:val="3AB8281F"/>
    <w:rsid w:val="3AD1508C"/>
    <w:rsid w:val="3AD31906"/>
    <w:rsid w:val="3AE55A2B"/>
    <w:rsid w:val="3B3426D6"/>
    <w:rsid w:val="3B5410CF"/>
    <w:rsid w:val="3B61770F"/>
    <w:rsid w:val="3B8553BD"/>
    <w:rsid w:val="3BA606D6"/>
    <w:rsid w:val="3BEE403C"/>
    <w:rsid w:val="3C2657B0"/>
    <w:rsid w:val="3C55385D"/>
    <w:rsid w:val="3C8A7DDC"/>
    <w:rsid w:val="3CA65042"/>
    <w:rsid w:val="3CBD75BF"/>
    <w:rsid w:val="3CD63DC8"/>
    <w:rsid w:val="3D011447"/>
    <w:rsid w:val="3D4628ED"/>
    <w:rsid w:val="3D47068D"/>
    <w:rsid w:val="3D555673"/>
    <w:rsid w:val="3D6D2D6A"/>
    <w:rsid w:val="3D876DDA"/>
    <w:rsid w:val="3DB8028D"/>
    <w:rsid w:val="3DC272D3"/>
    <w:rsid w:val="3DF55B8D"/>
    <w:rsid w:val="3E2818E7"/>
    <w:rsid w:val="3E320B89"/>
    <w:rsid w:val="3E8331F5"/>
    <w:rsid w:val="3EEA4E11"/>
    <w:rsid w:val="3EF0155E"/>
    <w:rsid w:val="3EF13BC7"/>
    <w:rsid w:val="3EF8002C"/>
    <w:rsid w:val="3F247660"/>
    <w:rsid w:val="3F7C4A83"/>
    <w:rsid w:val="3F7F1BBA"/>
    <w:rsid w:val="3FB137E9"/>
    <w:rsid w:val="3FF84C6C"/>
    <w:rsid w:val="40152803"/>
    <w:rsid w:val="404B55D6"/>
    <w:rsid w:val="405F1A6C"/>
    <w:rsid w:val="40630867"/>
    <w:rsid w:val="406C0698"/>
    <w:rsid w:val="40AF0485"/>
    <w:rsid w:val="40D34024"/>
    <w:rsid w:val="41275C6B"/>
    <w:rsid w:val="41366B89"/>
    <w:rsid w:val="41771599"/>
    <w:rsid w:val="41851C58"/>
    <w:rsid w:val="4201758B"/>
    <w:rsid w:val="420558C2"/>
    <w:rsid w:val="42FF71DC"/>
    <w:rsid w:val="436E1360"/>
    <w:rsid w:val="4395576F"/>
    <w:rsid w:val="43BD5DE5"/>
    <w:rsid w:val="43E24130"/>
    <w:rsid w:val="43F771B5"/>
    <w:rsid w:val="441402E6"/>
    <w:rsid w:val="444D54BA"/>
    <w:rsid w:val="44A7496E"/>
    <w:rsid w:val="44B36E39"/>
    <w:rsid w:val="44EC7013"/>
    <w:rsid w:val="45427AA4"/>
    <w:rsid w:val="45543CFF"/>
    <w:rsid w:val="455B6233"/>
    <w:rsid w:val="45D93D4C"/>
    <w:rsid w:val="45F92F9E"/>
    <w:rsid w:val="46032CFE"/>
    <w:rsid w:val="4623211C"/>
    <w:rsid w:val="467A1B1A"/>
    <w:rsid w:val="46A9603F"/>
    <w:rsid w:val="46F43807"/>
    <w:rsid w:val="46F63E3C"/>
    <w:rsid w:val="47F4219A"/>
    <w:rsid w:val="48153BEB"/>
    <w:rsid w:val="48537C3E"/>
    <w:rsid w:val="485E0861"/>
    <w:rsid w:val="48691698"/>
    <w:rsid w:val="48813425"/>
    <w:rsid w:val="48954080"/>
    <w:rsid w:val="48B22748"/>
    <w:rsid w:val="48CB1CC0"/>
    <w:rsid w:val="490A7640"/>
    <w:rsid w:val="49363170"/>
    <w:rsid w:val="493B6E38"/>
    <w:rsid w:val="495168BA"/>
    <w:rsid w:val="49582843"/>
    <w:rsid w:val="499305D6"/>
    <w:rsid w:val="499975A6"/>
    <w:rsid w:val="49C8100A"/>
    <w:rsid w:val="4A2B1E2F"/>
    <w:rsid w:val="4A7244CA"/>
    <w:rsid w:val="4A7758D0"/>
    <w:rsid w:val="4A885CE1"/>
    <w:rsid w:val="4AF27EB9"/>
    <w:rsid w:val="4B206934"/>
    <w:rsid w:val="4B571928"/>
    <w:rsid w:val="4B7F36D4"/>
    <w:rsid w:val="4BAC1D9D"/>
    <w:rsid w:val="4C0A309B"/>
    <w:rsid w:val="4C183C38"/>
    <w:rsid w:val="4C232A36"/>
    <w:rsid w:val="4C315980"/>
    <w:rsid w:val="4C410B5F"/>
    <w:rsid w:val="4C46430B"/>
    <w:rsid w:val="4C6F66E5"/>
    <w:rsid w:val="4C8E370C"/>
    <w:rsid w:val="4CB8134C"/>
    <w:rsid w:val="4CBB3980"/>
    <w:rsid w:val="4CBB61B1"/>
    <w:rsid w:val="4CD362B7"/>
    <w:rsid w:val="4D45749E"/>
    <w:rsid w:val="4D562972"/>
    <w:rsid w:val="4D922FB7"/>
    <w:rsid w:val="4DF22D6C"/>
    <w:rsid w:val="4DFA799E"/>
    <w:rsid w:val="4E3E6F9A"/>
    <w:rsid w:val="4E3F7085"/>
    <w:rsid w:val="4E4A0251"/>
    <w:rsid w:val="4E597C49"/>
    <w:rsid w:val="4E993495"/>
    <w:rsid w:val="4EB2058C"/>
    <w:rsid w:val="4EE52BDF"/>
    <w:rsid w:val="4EEC7BF6"/>
    <w:rsid w:val="4F077813"/>
    <w:rsid w:val="4F1B2096"/>
    <w:rsid w:val="4F1D369F"/>
    <w:rsid w:val="4F290247"/>
    <w:rsid w:val="4F433DC8"/>
    <w:rsid w:val="4F475940"/>
    <w:rsid w:val="4F576FDB"/>
    <w:rsid w:val="4F9B4D0B"/>
    <w:rsid w:val="4FA14EEC"/>
    <w:rsid w:val="4FA2712F"/>
    <w:rsid w:val="4FAE2A65"/>
    <w:rsid w:val="4FEE581C"/>
    <w:rsid w:val="4FF77B7C"/>
    <w:rsid w:val="50661099"/>
    <w:rsid w:val="508364E6"/>
    <w:rsid w:val="509537BA"/>
    <w:rsid w:val="50D77D3F"/>
    <w:rsid w:val="51286AE9"/>
    <w:rsid w:val="5173229A"/>
    <w:rsid w:val="51B463DB"/>
    <w:rsid w:val="51BD3871"/>
    <w:rsid w:val="520F3488"/>
    <w:rsid w:val="52853336"/>
    <w:rsid w:val="52881D50"/>
    <w:rsid w:val="52B2619C"/>
    <w:rsid w:val="52B368E2"/>
    <w:rsid w:val="52DE2527"/>
    <w:rsid w:val="534257EE"/>
    <w:rsid w:val="53463941"/>
    <w:rsid w:val="53707DDE"/>
    <w:rsid w:val="53B778F6"/>
    <w:rsid w:val="53D41A3B"/>
    <w:rsid w:val="53EE67E9"/>
    <w:rsid w:val="541411EB"/>
    <w:rsid w:val="54471502"/>
    <w:rsid w:val="54591CDE"/>
    <w:rsid w:val="545D1AE0"/>
    <w:rsid w:val="546F5BEC"/>
    <w:rsid w:val="5486159B"/>
    <w:rsid w:val="54A97792"/>
    <w:rsid w:val="55274423"/>
    <w:rsid w:val="5589190F"/>
    <w:rsid w:val="55D757C4"/>
    <w:rsid w:val="5652511E"/>
    <w:rsid w:val="56832D98"/>
    <w:rsid w:val="56BB6658"/>
    <w:rsid w:val="56E07C82"/>
    <w:rsid w:val="56FB2168"/>
    <w:rsid w:val="570B1AB0"/>
    <w:rsid w:val="5739320B"/>
    <w:rsid w:val="575D6D2D"/>
    <w:rsid w:val="5788376B"/>
    <w:rsid w:val="57A71F1A"/>
    <w:rsid w:val="57C568C3"/>
    <w:rsid w:val="57E61AE2"/>
    <w:rsid w:val="58036B5E"/>
    <w:rsid w:val="58506D81"/>
    <w:rsid w:val="58510290"/>
    <w:rsid w:val="585513DF"/>
    <w:rsid w:val="585572BE"/>
    <w:rsid w:val="5857367B"/>
    <w:rsid w:val="58806997"/>
    <w:rsid w:val="589B064D"/>
    <w:rsid w:val="58B9519B"/>
    <w:rsid w:val="58C64CF3"/>
    <w:rsid w:val="58CB3B78"/>
    <w:rsid w:val="592375BD"/>
    <w:rsid w:val="5A046FEE"/>
    <w:rsid w:val="5A1E0DE5"/>
    <w:rsid w:val="5A24740C"/>
    <w:rsid w:val="5A25148A"/>
    <w:rsid w:val="5A4665FF"/>
    <w:rsid w:val="5A495F21"/>
    <w:rsid w:val="5A4A6B8D"/>
    <w:rsid w:val="5A723A0D"/>
    <w:rsid w:val="5A762255"/>
    <w:rsid w:val="5A9D621A"/>
    <w:rsid w:val="5AAA0AA2"/>
    <w:rsid w:val="5ACF40CD"/>
    <w:rsid w:val="5AEE34FF"/>
    <w:rsid w:val="5B1C0FFF"/>
    <w:rsid w:val="5B760457"/>
    <w:rsid w:val="5BA01AAA"/>
    <w:rsid w:val="5BD637EC"/>
    <w:rsid w:val="5BDE5A43"/>
    <w:rsid w:val="5C015F30"/>
    <w:rsid w:val="5C34166A"/>
    <w:rsid w:val="5C4B46FE"/>
    <w:rsid w:val="5C6711D1"/>
    <w:rsid w:val="5C7A69B1"/>
    <w:rsid w:val="5CA756EA"/>
    <w:rsid w:val="5CC9383E"/>
    <w:rsid w:val="5CEC3203"/>
    <w:rsid w:val="5D230368"/>
    <w:rsid w:val="5D4123BC"/>
    <w:rsid w:val="5DF92555"/>
    <w:rsid w:val="5DFD198F"/>
    <w:rsid w:val="5E1463C6"/>
    <w:rsid w:val="5E285861"/>
    <w:rsid w:val="5E2A2989"/>
    <w:rsid w:val="5EE2701E"/>
    <w:rsid w:val="5F0A4475"/>
    <w:rsid w:val="5F7E03D7"/>
    <w:rsid w:val="5F892553"/>
    <w:rsid w:val="5FA93096"/>
    <w:rsid w:val="5FB63A50"/>
    <w:rsid w:val="5FCF67D6"/>
    <w:rsid w:val="5FF07432"/>
    <w:rsid w:val="5FF36B68"/>
    <w:rsid w:val="5FF517E2"/>
    <w:rsid w:val="5FF94643"/>
    <w:rsid w:val="603B618B"/>
    <w:rsid w:val="603F6287"/>
    <w:rsid w:val="607A4BA9"/>
    <w:rsid w:val="60A859A2"/>
    <w:rsid w:val="60D94311"/>
    <w:rsid w:val="60DB2B0C"/>
    <w:rsid w:val="60F83A81"/>
    <w:rsid w:val="612B6AD8"/>
    <w:rsid w:val="615A394A"/>
    <w:rsid w:val="61933F69"/>
    <w:rsid w:val="619A7179"/>
    <w:rsid w:val="62106F71"/>
    <w:rsid w:val="62163208"/>
    <w:rsid w:val="622E1F65"/>
    <w:rsid w:val="62832BDA"/>
    <w:rsid w:val="62951CF8"/>
    <w:rsid w:val="62F67597"/>
    <w:rsid w:val="62FB1D23"/>
    <w:rsid w:val="630C34D0"/>
    <w:rsid w:val="632D6D85"/>
    <w:rsid w:val="63B41836"/>
    <w:rsid w:val="63EA5541"/>
    <w:rsid w:val="63EC11DC"/>
    <w:rsid w:val="63F75B8A"/>
    <w:rsid w:val="642440D0"/>
    <w:rsid w:val="64312F66"/>
    <w:rsid w:val="647C6454"/>
    <w:rsid w:val="647F6D16"/>
    <w:rsid w:val="64822830"/>
    <w:rsid w:val="64C8510C"/>
    <w:rsid w:val="64EB1866"/>
    <w:rsid w:val="65502EF3"/>
    <w:rsid w:val="655120C2"/>
    <w:rsid w:val="65A240BE"/>
    <w:rsid w:val="65A273A9"/>
    <w:rsid w:val="65B97F33"/>
    <w:rsid w:val="65D8234F"/>
    <w:rsid w:val="65FC2771"/>
    <w:rsid w:val="66005BAB"/>
    <w:rsid w:val="662E2B27"/>
    <w:rsid w:val="6682104F"/>
    <w:rsid w:val="66A86E2D"/>
    <w:rsid w:val="66C201BF"/>
    <w:rsid w:val="66C42438"/>
    <w:rsid w:val="66F5284E"/>
    <w:rsid w:val="671943EE"/>
    <w:rsid w:val="673E3C3E"/>
    <w:rsid w:val="674E06A1"/>
    <w:rsid w:val="67576D4B"/>
    <w:rsid w:val="679D7D9D"/>
    <w:rsid w:val="67B84A87"/>
    <w:rsid w:val="67E824D2"/>
    <w:rsid w:val="67FD5E1E"/>
    <w:rsid w:val="685A52F7"/>
    <w:rsid w:val="68891665"/>
    <w:rsid w:val="68A54006"/>
    <w:rsid w:val="68D42FFF"/>
    <w:rsid w:val="68D66092"/>
    <w:rsid w:val="68E84B74"/>
    <w:rsid w:val="6914516D"/>
    <w:rsid w:val="69D9569F"/>
    <w:rsid w:val="69DB401D"/>
    <w:rsid w:val="6A3001E9"/>
    <w:rsid w:val="6A744564"/>
    <w:rsid w:val="6A757894"/>
    <w:rsid w:val="6AA35B41"/>
    <w:rsid w:val="6AB3275D"/>
    <w:rsid w:val="6B0D2C77"/>
    <w:rsid w:val="6B146E39"/>
    <w:rsid w:val="6B8E2CC8"/>
    <w:rsid w:val="6BA6445F"/>
    <w:rsid w:val="6BB554FE"/>
    <w:rsid w:val="6BC02B2A"/>
    <w:rsid w:val="6BE00EB8"/>
    <w:rsid w:val="6BF65521"/>
    <w:rsid w:val="6C1363EA"/>
    <w:rsid w:val="6C3B68E9"/>
    <w:rsid w:val="6C481EE1"/>
    <w:rsid w:val="6C4C1A7E"/>
    <w:rsid w:val="6C9803A4"/>
    <w:rsid w:val="6CD84C1C"/>
    <w:rsid w:val="6CF10A2F"/>
    <w:rsid w:val="6D073433"/>
    <w:rsid w:val="6D194476"/>
    <w:rsid w:val="6D243939"/>
    <w:rsid w:val="6D3664FC"/>
    <w:rsid w:val="6D377DBC"/>
    <w:rsid w:val="6D447778"/>
    <w:rsid w:val="6D470009"/>
    <w:rsid w:val="6D477900"/>
    <w:rsid w:val="6D84645E"/>
    <w:rsid w:val="6DA30338"/>
    <w:rsid w:val="6DF362B1"/>
    <w:rsid w:val="6E0D34FC"/>
    <w:rsid w:val="6E2607E4"/>
    <w:rsid w:val="6E295EDD"/>
    <w:rsid w:val="6E5261F1"/>
    <w:rsid w:val="6E7D48F4"/>
    <w:rsid w:val="6EA152E7"/>
    <w:rsid w:val="6EB9421F"/>
    <w:rsid w:val="6ED35FC5"/>
    <w:rsid w:val="6EDB433C"/>
    <w:rsid w:val="6EE10B05"/>
    <w:rsid w:val="6EE9415C"/>
    <w:rsid w:val="6F0472BB"/>
    <w:rsid w:val="6F09197C"/>
    <w:rsid w:val="6F5A306E"/>
    <w:rsid w:val="6F5B3B07"/>
    <w:rsid w:val="6F63215C"/>
    <w:rsid w:val="6F6C74CA"/>
    <w:rsid w:val="6F7A7501"/>
    <w:rsid w:val="6F893F72"/>
    <w:rsid w:val="6F8A4A18"/>
    <w:rsid w:val="6FA74B9D"/>
    <w:rsid w:val="6FAD5E72"/>
    <w:rsid w:val="6FB91944"/>
    <w:rsid w:val="6FCC50AE"/>
    <w:rsid w:val="6FE54985"/>
    <w:rsid w:val="7004295F"/>
    <w:rsid w:val="70C410F0"/>
    <w:rsid w:val="70E3183A"/>
    <w:rsid w:val="71077AC2"/>
    <w:rsid w:val="712D722C"/>
    <w:rsid w:val="71462279"/>
    <w:rsid w:val="715D24FB"/>
    <w:rsid w:val="715F69B7"/>
    <w:rsid w:val="71B2246A"/>
    <w:rsid w:val="71B752EE"/>
    <w:rsid w:val="71EF7570"/>
    <w:rsid w:val="724062B5"/>
    <w:rsid w:val="724128A7"/>
    <w:rsid w:val="72700C83"/>
    <w:rsid w:val="727B7B6A"/>
    <w:rsid w:val="72E54624"/>
    <w:rsid w:val="733C1E90"/>
    <w:rsid w:val="73524061"/>
    <w:rsid w:val="735C70F8"/>
    <w:rsid w:val="736D5763"/>
    <w:rsid w:val="74044161"/>
    <w:rsid w:val="744446C4"/>
    <w:rsid w:val="744E6EF3"/>
    <w:rsid w:val="744F05D4"/>
    <w:rsid w:val="74641E1C"/>
    <w:rsid w:val="74AE3341"/>
    <w:rsid w:val="74EE31EA"/>
    <w:rsid w:val="751D12C7"/>
    <w:rsid w:val="752774A0"/>
    <w:rsid w:val="7548033E"/>
    <w:rsid w:val="75810DBF"/>
    <w:rsid w:val="7582554A"/>
    <w:rsid w:val="75842DFC"/>
    <w:rsid w:val="759C5DA0"/>
    <w:rsid w:val="75B42C93"/>
    <w:rsid w:val="75BE0722"/>
    <w:rsid w:val="75E206DF"/>
    <w:rsid w:val="75F520B4"/>
    <w:rsid w:val="760B3D73"/>
    <w:rsid w:val="762441D9"/>
    <w:rsid w:val="76675EF0"/>
    <w:rsid w:val="767B2832"/>
    <w:rsid w:val="76B12A6F"/>
    <w:rsid w:val="77247924"/>
    <w:rsid w:val="7726248F"/>
    <w:rsid w:val="7760065F"/>
    <w:rsid w:val="776B42F4"/>
    <w:rsid w:val="778B7998"/>
    <w:rsid w:val="77AF43FE"/>
    <w:rsid w:val="77CA38FE"/>
    <w:rsid w:val="77D62A56"/>
    <w:rsid w:val="77E62733"/>
    <w:rsid w:val="77EB74F7"/>
    <w:rsid w:val="77F84B71"/>
    <w:rsid w:val="78293DC3"/>
    <w:rsid w:val="78417A06"/>
    <w:rsid w:val="785D218D"/>
    <w:rsid w:val="787A2F5B"/>
    <w:rsid w:val="78CB0936"/>
    <w:rsid w:val="78E35D17"/>
    <w:rsid w:val="78EF19AD"/>
    <w:rsid w:val="790C0EF7"/>
    <w:rsid w:val="7920299E"/>
    <w:rsid w:val="79307089"/>
    <w:rsid w:val="79365331"/>
    <w:rsid w:val="79453808"/>
    <w:rsid w:val="7972700B"/>
    <w:rsid w:val="79A56DCA"/>
    <w:rsid w:val="79A86542"/>
    <w:rsid w:val="79C915DE"/>
    <w:rsid w:val="7A3A078E"/>
    <w:rsid w:val="7A601930"/>
    <w:rsid w:val="7A815E78"/>
    <w:rsid w:val="7A817A12"/>
    <w:rsid w:val="7A850292"/>
    <w:rsid w:val="7A9F5A78"/>
    <w:rsid w:val="7AC528C4"/>
    <w:rsid w:val="7B0320BB"/>
    <w:rsid w:val="7B48683A"/>
    <w:rsid w:val="7B557CBA"/>
    <w:rsid w:val="7B5622D1"/>
    <w:rsid w:val="7B755A82"/>
    <w:rsid w:val="7BA576CC"/>
    <w:rsid w:val="7BC864F5"/>
    <w:rsid w:val="7BCD7043"/>
    <w:rsid w:val="7BD77C15"/>
    <w:rsid w:val="7C120FB7"/>
    <w:rsid w:val="7C1C7594"/>
    <w:rsid w:val="7C330F79"/>
    <w:rsid w:val="7C6C512B"/>
    <w:rsid w:val="7C78289D"/>
    <w:rsid w:val="7C795564"/>
    <w:rsid w:val="7CCA7032"/>
    <w:rsid w:val="7CEC648C"/>
    <w:rsid w:val="7D3E1E75"/>
    <w:rsid w:val="7D5D751D"/>
    <w:rsid w:val="7DAA16F6"/>
    <w:rsid w:val="7E0C1718"/>
    <w:rsid w:val="7E183EEA"/>
    <w:rsid w:val="7E416C5D"/>
    <w:rsid w:val="7E437B59"/>
    <w:rsid w:val="7E7802AC"/>
    <w:rsid w:val="7E796EC2"/>
    <w:rsid w:val="7E855AE7"/>
    <w:rsid w:val="7E9D718F"/>
    <w:rsid w:val="7EA4340E"/>
    <w:rsid w:val="7EC80D2A"/>
    <w:rsid w:val="7ECA60B0"/>
    <w:rsid w:val="7F684AF8"/>
    <w:rsid w:val="7F912BF1"/>
    <w:rsid w:val="7FAA79E9"/>
    <w:rsid w:val="7FB074B2"/>
    <w:rsid w:val="7FD161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toc 8"/>
    <w:basedOn w:val="18"/>
    <w:next w:val="1"/>
    <w:qFormat/>
    <w:uiPriority w:val="39"/>
    <w:pPr>
      <w:spacing w:before="180"/>
      <w:ind w:left="2693" w:hanging="2693"/>
    </w:pPr>
    <w:rPr>
      <w:b/>
    </w:rPr>
  </w:style>
  <w:style w:type="paragraph" w:styleId="22">
    <w:name w:val="Balloon Text"/>
    <w:basedOn w:val="1"/>
    <w:link w:val="68"/>
    <w:qFormat/>
    <w:uiPriority w:val="0"/>
    <w:pPr>
      <w:spacing w:after="0"/>
    </w:pPr>
    <w:rPr>
      <w:rFonts w:ascii="Segoe UI" w:hAnsi="Segoe UI" w:cs="Segoe UI"/>
      <w:sz w:val="18"/>
      <w:szCs w:val="18"/>
    </w:rPr>
  </w:style>
  <w:style w:type="paragraph" w:styleId="23">
    <w:name w:val="footer"/>
    <w:basedOn w:val="1"/>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List"/>
    <w:basedOn w:val="1"/>
    <w:qFormat/>
    <w:uiPriority w:val="0"/>
    <w:pPr>
      <w:ind w:left="568" w:hanging="284"/>
    </w:pPr>
  </w:style>
  <w:style w:type="paragraph" w:styleId="26">
    <w:name w:val="toc 9"/>
    <w:basedOn w:val="21"/>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basedOn w:val="29"/>
    <w:semiHidden/>
    <w:qFormat/>
    <w:uiPriority w:val="0"/>
  </w:style>
  <w:style w:type="character" w:styleId="31">
    <w:name w:val="FollowedHyperlink"/>
    <w:basedOn w:val="29"/>
    <w:qFormat/>
    <w:uiPriority w:val="0"/>
    <w:rPr>
      <w:color w:val="954F72" w:themeColor="followedHyperlink"/>
      <w:u w:val="single"/>
      <w14:textFill>
        <w14:solidFill>
          <w14:schemeClr w14:val="folHlink"/>
        </w14:solidFill>
      </w14:textFill>
    </w:rPr>
  </w:style>
  <w:style w:type="character" w:styleId="32">
    <w:name w:val="Hyperlink"/>
    <w:basedOn w:val="29"/>
    <w:qFormat/>
    <w:uiPriority w:val="0"/>
    <w:rPr>
      <w:color w:val="0563C1" w:themeColor="hyperlink"/>
      <w:u w:val="single"/>
      <w14:textFill>
        <w14:solidFill>
          <w14:schemeClr w14:val="hlink"/>
        </w14:solidFill>
      </w14:textFill>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5"/>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Balloon Text Char"/>
    <w:link w:val="22"/>
    <w:qFormat/>
    <w:uiPriority w:val="0"/>
    <w:rPr>
      <w:rFonts w:ascii="Segoe UI" w:hAnsi="Segoe UI" w:cs="Segoe UI"/>
      <w:sz w:val="18"/>
      <w:szCs w:val="18"/>
      <w:lang w:eastAsia="en-US"/>
    </w:rPr>
  </w:style>
  <w:style w:type="character" w:customStyle="1" w:styleId="69">
    <w:name w:val="Unresolved Mention"/>
    <w:basedOn w:val="29"/>
    <w:semiHidden/>
    <w:unhideWhenUsed/>
    <w:qFormat/>
    <w:uiPriority w:val="99"/>
    <w:rPr>
      <w:color w:val="605E5C"/>
      <w:shd w:val="clear" w:color="auto" w:fill="E1DFDD"/>
    </w:rPr>
  </w:style>
  <w:style w:type="paragraph" w:styleId="70">
    <w:name w:val="List Paragraph"/>
    <w:basedOn w:val="1"/>
    <w:link w:val="71"/>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1">
    <w:name w:val="List Paragraph Char"/>
    <w:link w:val="70"/>
    <w:qFormat/>
    <w:locked/>
    <w:uiPriority w:val="34"/>
    <w:rPr>
      <w:rFonts w:asciiTheme="minorHAnsi" w:hAnsiTheme="minorHAnsi" w:eastAsiaTheme="minorHAnsi" w:cstheme="minorBidi"/>
      <w:sz w:val="22"/>
      <w:szCs w:val="22"/>
      <w:lang w:val="sv-SE" w:eastAsia="en-US"/>
    </w:rPr>
  </w:style>
  <w:style w:type="paragraph" w:customStyle="1" w:styleId="72">
    <w:name w:val="CR Cover Page"/>
    <w:link w:val="73"/>
    <w:qFormat/>
    <w:uiPriority w:val="0"/>
    <w:pPr>
      <w:spacing w:after="120"/>
    </w:pPr>
    <w:rPr>
      <w:rFonts w:ascii="Arial" w:hAnsi="Arial" w:eastAsia="Times New Roman" w:cs="Times New Roman"/>
      <w:lang w:val="en-GB" w:eastAsia="en-US" w:bidi="ar-SA"/>
    </w:rPr>
  </w:style>
  <w:style w:type="character" w:customStyle="1" w:styleId="73">
    <w:name w:val="CR Cover Page Char"/>
    <w:link w:val="72"/>
    <w:qFormat/>
    <w:uiPriority w:val="0"/>
    <w:rPr>
      <w:rFonts w:ascii="Arial" w:hAnsi="Arial"/>
      <w:lang w:eastAsia="en-US"/>
    </w:rPr>
  </w:style>
  <w:style w:type="paragraph" w:customStyle="1" w:styleId="74">
    <w:name w:val="RAN4 H1"/>
    <w:basedOn w:val="1"/>
    <w:next w:val="1"/>
    <w:link w:val="75"/>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5">
    <w:name w:val="RAN4 H1 Char"/>
    <w:basedOn w:val="29"/>
    <w:link w:val="74"/>
    <w:qFormat/>
    <w:uiPriority w:val="0"/>
    <w:rPr>
      <w:rFonts w:ascii="Arial" w:hAnsi="Arial" w:eastAsia="宋体" w:cs="Times New Roman"/>
      <w:sz w:val="36"/>
      <w:szCs w:val="20"/>
      <w:lang w:val="en-GB"/>
    </w:rPr>
  </w:style>
  <w:style w:type="paragraph" w:customStyle="1" w:styleId="76">
    <w:name w:val="RAN4 H2"/>
    <w:basedOn w:val="3"/>
    <w:next w:val="1"/>
    <w:qFormat/>
    <w:uiPriority w:val="0"/>
    <w:pPr>
      <w:numPr>
        <w:ilvl w:val="1"/>
        <w:numId w:val="1"/>
      </w:numPr>
      <w:ind w:left="431" w:hanging="431"/>
    </w:pPr>
    <w:rPr>
      <w:lang w:val="en-US"/>
    </w:rPr>
  </w:style>
  <w:style w:type="paragraph" w:customStyle="1" w:styleId="77">
    <w:name w:val="RAN4 proposal"/>
    <w:basedOn w:val="19"/>
    <w:next w:val="1"/>
    <w:qFormat/>
    <w:uiPriority w:val="0"/>
    <w:pPr>
      <w:numPr>
        <w:ilvl w:val="0"/>
        <w:numId w:val="2"/>
      </w:numPr>
      <w:ind w:left="0" w:firstLine="0"/>
      <w:jc w:val="left"/>
    </w:pPr>
    <w:rPr>
      <w:rFonts w:ascii="Times New Roman" w:hAnsi="Times New Roman"/>
      <w:b/>
      <w:i w:val="0"/>
      <w:sz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46</TotalTime>
  <ScaleCrop>false</ScaleCrop>
  <LinksUpToDate>false</LinksUpToDate>
  <CharactersWithSpaces>1649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2023-05-15T12:35:18Z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